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4331"/>
        <w:gridCol w:w="3744"/>
        <w:gridCol w:w="6095"/>
      </w:tblGrid>
      <w:tr w:rsidR="00D634E8" w14:paraId="6635B9BB" w14:textId="77777777">
        <w:tc>
          <w:tcPr>
            <w:tcW w:w="4331" w:type="dxa"/>
          </w:tcPr>
          <w:p w14:paraId="43F51902" w14:textId="77777777" w:rsidR="00D634E8" w:rsidRDefault="00D634E8">
            <w:pPr>
              <w:tabs>
                <w:tab w:val="center" w:pos="4513"/>
                <w:tab w:val="right" w:pos="9026"/>
              </w:tabs>
              <w:rPr>
                <w:sz w:val="22"/>
                <w:szCs w:val="22"/>
                <w:lang w:val="en-US"/>
              </w:rPr>
            </w:pPr>
          </w:p>
          <w:p w14:paraId="2CCD4C5A" w14:textId="77777777" w:rsidR="00D634E8" w:rsidRDefault="00D634E8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</w:tcPr>
          <w:p w14:paraId="5AF6DE61" w14:textId="77777777" w:rsidR="00D634E8" w:rsidRDefault="00D634E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4BBE063B" w14:textId="77777777" w:rsidR="00D634E8" w:rsidRDefault="00F37FD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Tvarios miesto plėtros strategijų ir funkcinių zonų strategijų rengimo ir įgyvendinimo stebėsenos tvarkos aprašo</w:t>
            </w:r>
          </w:p>
          <w:p w14:paraId="5401DADA" w14:textId="77777777" w:rsidR="00D634E8" w:rsidRDefault="00F37FDA">
            <w:pPr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Cs w:val="24"/>
                <w:lang w:val="en-US"/>
              </w:rPr>
              <w:t xml:space="preserve">6 </w:t>
            </w:r>
            <w:r w:rsidRPr="007C4F3C">
              <w:rPr>
                <w:rFonts w:eastAsia="Calibri"/>
                <w:szCs w:val="24"/>
              </w:rPr>
              <w:t>priedas</w:t>
            </w:r>
          </w:p>
        </w:tc>
      </w:tr>
    </w:tbl>
    <w:p w14:paraId="7CC0CC00" w14:textId="77777777" w:rsidR="00D634E8" w:rsidRDefault="00D634E8">
      <w:pPr>
        <w:rPr>
          <w:sz w:val="14"/>
          <w:szCs w:val="14"/>
        </w:rPr>
      </w:pPr>
    </w:p>
    <w:p w14:paraId="5B11A554" w14:textId="77777777" w:rsidR="00D634E8" w:rsidRDefault="00D634E8">
      <w:pPr>
        <w:rPr>
          <w:sz w:val="14"/>
          <w:szCs w:val="14"/>
        </w:rPr>
      </w:pPr>
    </w:p>
    <w:p w14:paraId="4F006CF8" w14:textId="3116FE24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INFORMACIJA APIE</w:t>
      </w:r>
      <w:r w:rsidRPr="00413B8D">
        <w:rPr>
          <w:szCs w:val="24"/>
          <w:lang w:eastAsia="lt-LT"/>
        </w:rPr>
        <w:t xml:space="preserve"> </w:t>
      </w:r>
      <w:r w:rsidR="00943538" w:rsidRPr="00943538">
        <w:rPr>
          <w:b/>
          <w:bCs/>
          <w:szCs w:val="24"/>
          <w:lang w:eastAsia="lt-LT"/>
        </w:rPr>
        <w:t>2024–2029 M. ŠIAULIŲ REGIONO FUNKCINĖS ZONOS</w:t>
      </w:r>
      <w:r w:rsidRPr="00413B8D">
        <w:rPr>
          <w:szCs w:val="24"/>
          <w:lang w:eastAsia="lt-LT"/>
        </w:rPr>
        <w:t xml:space="preserve"> </w:t>
      </w:r>
      <w:r w:rsidRPr="00413B8D">
        <w:rPr>
          <w:b/>
          <w:bCs/>
          <w:szCs w:val="24"/>
          <w:lang w:eastAsia="lt-LT"/>
        </w:rPr>
        <w:t>STRATEGIJOS</w:t>
      </w:r>
    </w:p>
    <w:p w14:paraId="53884960" w14:textId="77777777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ĮGYVENDINIMO PAŽANGĄ</w:t>
      </w:r>
    </w:p>
    <w:p w14:paraId="2E73C9CF" w14:textId="1BF5869A" w:rsidR="00D634E8" w:rsidRPr="00943538" w:rsidRDefault="00943538" w:rsidP="00943538">
      <w:pPr>
        <w:spacing w:before="120"/>
        <w:jc w:val="center"/>
        <w:rPr>
          <w:szCs w:val="24"/>
        </w:rPr>
      </w:pPr>
      <w:r w:rsidRPr="00943538">
        <w:rPr>
          <w:szCs w:val="24"/>
        </w:rPr>
        <w:t>202</w:t>
      </w:r>
      <w:r w:rsidR="00456B3C">
        <w:rPr>
          <w:szCs w:val="24"/>
        </w:rPr>
        <w:t>5</w:t>
      </w:r>
      <w:r w:rsidRPr="00943538">
        <w:rPr>
          <w:szCs w:val="24"/>
        </w:rPr>
        <w:t>-</w:t>
      </w:r>
      <w:r w:rsidR="00225FFE">
        <w:rPr>
          <w:szCs w:val="24"/>
        </w:rPr>
        <w:t>01</w:t>
      </w:r>
      <w:r w:rsidRPr="00943538">
        <w:rPr>
          <w:szCs w:val="24"/>
        </w:rPr>
        <w:t>-</w:t>
      </w:r>
      <w:r w:rsidR="00D21C76">
        <w:rPr>
          <w:szCs w:val="24"/>
        </w:rPr>
        <w:t>14</w:t>
      </w:r>
    </w:p>
    <w:p w14:paraId="64F96CBF" w14:textId="77777777" w:rsidR="00D634E8" w:rsidRDefault="00D634E8">
      <w:pPr>
        <w:jc w:val="center"/>
        <w:rPr>
          <w:b/>
          <w:szCs w:val="24"/>
          <w:highlight w:val="yellow"/>
          <w:u w:val="single"/>
        </w:rPr>
      </w:pPr>
    </w:p>
    <w:p w14:paraId="2600F1F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 Informacija apie Strategijos poveikio ir rezultato rodiklių reikšmių pasiekimą</w:t>
      </w:r>
    </w:p>
    <w:p w14:paraId="0D4EE952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69"/>
        <w:gridCol w:w="1764"/>
        <w:gridCol w:w="1634"/>
        <w:gridCol w:w="1334"/>
        <w:gridCol w:w="2496"/>
        <w:gridCol w:w="3260"/>
      </w:tblGrid>
      <w:tr w:rsidR="00D634E8" w14:paraId="5FB188FD" w14:textId="77777777">
        <w:tc>
          <w:tcPr>
            <w:tcW w:w="1830" w:type="dxa"/>
            <w:shd w:val="pct5" w:color="auto" w:fill="auto"/>
          </w:tcPr>
          <w:p w14:paraId="2759B3CD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Strategijos tikslas (-ai) / uždaviniai</w:t>
            </w:r>
          </w:p>
        </w:tc>
        <w:tc>
          <w:tcPr>
            <w:tcW w:w="1569" w:type="dxa"/>
            <w:shd w:val="pct5" w:color="auto" w:fill="auto"/>
          </w:tcPr>
          <w:p w14:paraId="37537E1D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Rodikliai, matavimo vienetai</w:t>
            </w:r>
          </w:p>
        </w:tc>
        <w:tc>
          <w:tcPr>
            <w:tcW w:w="1764" w:type="dxa"/>
            <w:shd w:val="pct5" w:color="auto" w:fill="auto"/>
          </w:tcPr>
          <w:p w14:paraId="1919F2AF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Pagal Strategiją pradinė rodiklio reikšmė ir metai</w:t>
            </w:r>
          </w:p>
        </w:tc>
        <w:tc>
          <w:tcPr>
            <w:tcW w:w="1634" w:type="dxa"/>
            <w:shd w:val="pct5" w:color="auto" w:fill="auto"/>
          </w:tcPr>
          <w:p w14:paraId="137FD661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Pagal Strategiją siektina rodiklio reikšmė ir metai</w:t>
            </w:r>
          </w:p>
        </w:tc>
        <w:tc>
          <w:tcPr>
            <w:tcW w:w="1334" w:type="dxa"/>
            <w:shd w:val="pct5" w:color="auto" w:fill="auto"/>
          </w:tcPr>
          <w:p w14:paraId="2A50008F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 xml:space="preserve">Pasiekta rodiklio reikšmė </w:t>
            </w:r>
          </w:p>
        </w:tc>
        <w:tc>
          <w:tcPr>
            <w:tcW w:w="2496" w:type="dxa"/>
            <w:shd w:val="pct5" w:color="auto" w:fill="auto"/>
          </w:tcPr>
          <w:p w14:paraId="5A324610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Informacijos šaltiniai</w:t>
            </w:r>
          </w:p>
        </w:tc>
        <w:tc>
          <w:tcPr>
            <w:tcW w:w="3260" w:type="dxa"/>
            <w:shd w:val="pct5" w:color="auto" w:fill="auto"/>
          </w:tcPr>
          <w:p w14:paraId="55B6C507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Komentarai</w:t>
            </w:r>
          </w:p>
        </w:tc>
      </w:tr>
      <w:tr w:rsidR="00D634E8" w14:paraId="15BA7B8D" w14:textId="77777777">
        <w:tc>
          <w:tcPr>
            <w:tcW w:w="1830" w:type="dxa"/>
            <w:shd w:val="pct5" w:color="auto" w:fill="auto"/>
          </w:tcPr>
          <w:p w14:paraId="38E13DE2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569" w:type="dxa"/>
            <w:shd w:val="pct5" w:color="auto" w:fill="auto"/>
          </w:tcPr>
          <w:p w14:paraId="340FD720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764" w:type="dxa"/>
            <w:shd w:val="pct5" w:color="auto" w:fill="auto"/>
          </w:tcPr>
          <w:p w14:paraId="5EBCC02A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634" w:type="dxa"/>
            <w:shd w:val="pct5" w:color="auto" w:fill="auto"/>
          </w:tcPr>
          <w:p w14:paraId="0A24E76C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1334" w:type="dxa"/>
            <w:shd w:val="pct5" w:color="auto" w:fill="auto"/>
          </w:tcPr>
          <w:p w14:paraId="44CEDDBF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496" w:type="dxa"/>
            <w:shd w:val="pct5" w:color="auto" w:fill="auto"/>
          </w:tcPr>
          <w:p w14:paraId="4F1DB51D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3260" w:type="dxa"/>
            <w:shd w:val="pct5" w:color="auto" w:fill="auto"/>
          </w:tcPr>
          <w:p w14:paraId="41B9F360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7</w:t>
            </w:r>
          </w:p>
        </w:tc>
      </w:tr>
      <w:tr w:rsidR="00D634E8" w14:paraId="122C01EC" w14:textId="77777777">
        <w:tc>
          <w:tcPr>
            <w:tcW w:w="1830" w:type="dxa"/>
            <w:vMerge w:val="restart"/>
          </w:tcPr>
          <w:p w14:paraId="1175CE39" w14:textId="4816711C" w:rsidR="007C4F3C" w:rsidRPr="002500D6" w:rsidRDefault="007C4F3C" w:rsidP="007C4F3C">
            <w:pPr>
              <w:widowControl w:val="0"/>
              <w:suppressAutoHyphens/>
              <w:rPr>
                <w:rFonts w:eastAsia="Calibri"/>
                <w:szCs w:val="24"/>
              </w:rPr>
            </w:pPr>
            <w:r w:rsidRPr="00B9165E">
              <w:rPr>
                <w:rFonts w:eastAsia="Calibri"/>
                <w:b/>
                <w:bCs/>
                <w:szCs w:val="24"/>
              </w:rPr>
              <w:t>1</w:t>
            </w:r>
            <w:r w:rsidR="00B9165E" w:rsidRPr="00B9165E">
              <w:rPr>
                <w:rFonts w:eastAsia="Calibri"/>
                <w:b/>
                <w:bCs/>
                <w:szCs w:val="24"/>
              </w:rPr>
              <w:t xml:space="preserve"> tikslas</w:t>
            </w:r>
            <w:r w:rsidR="00B9165E">
              <w:rPr>
                <w:rFonts w:eastAsia="Calibri"/>
                <w:b/>
                <w:bCs/>
                <w:szCs w:val="24"/>
              </w:rPr>
              <w:t>:</w:t>
            </w:r>
            <w:r w:rsidRPr="002500D6">
              <w:rPr>
                <w:rFonts w:eastAsia="Calibri"/>
                <w:szCs w:val="24"/>
              </w:rPr>
              <w:t xml:space="preserve"> Pagerinti sąlygas tvariai regiono ekonominei ir socialinei plėtrai</w:t>
            </w:r>
          </w:p>
          <w:p w14:paraId="2E228340" w14:textId="34E006E8" w:rsidR="00D634E8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7D11FC79" w14:textId="2A80D84C" w:rsidR="00D634E8" w:rsidRPr="007C4F3C" w:rsidRDefault="007C4F3C" w:rsidP="007C4F3C">
            <w:pPr>
              <w:widowControl w:val="0"/>
              <w:suppressAutoHyphens/>
              <w:rPr>
                <w:b/>
                <w:color w:val="808080"/>
                <w:sz w:val="20"/>
              </w:rPr>
            </w:pPr>
            <w:r w:rsidRPr="007C4F3C">
              <w:rPr>
                <w:color w:val="000000"/>
                <w:sz w:val="20"/>
              </w:rPr>
              <w:t>Gyventojų užimtumo lygis (15–64 metų),  procentai</w:t>
            </w:r>
          </w:p>
        </w:tc>
        <w:tc>
          <w:tcPr>
            <w:tcW w:w="1764" w:type="dxa"/>
          </w:tcPr>
          <w:p w14:paraId="7B9A1F4E" w14:textId="77777777" w:rsidR="007D21E6" w:rsidRPr="001E4453" w:rsidRDefault="007D21E6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1E44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14:paraId="360FA013" w14:textId="62AFFC27" w:rsidR="00D634E8" w:rsidRDefault="007D21E6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(2022 m.)</w:t>
            </w:r>
          </w:p>
        </w:tc>
        <w:tc>
          <w:tcPr>
            <w:tcW w:w="1634" w:type="dxa"/>
          </w:tcPr>
          <w:p w14:paraId="5D03F2CF" w14:textId="77777777" w:rsidR="007D21E6" w:rsidRPr="001E4453" w:rsidRDefault="007D21E6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14:paraId="107CC4F5" w14:textId="7B86D553" w:rsidR="00D634E8" w:rsidRDefault="007D21E6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7F43B822" w14:textId="77777777" w:rsidR="00D634E8" w:rsidRDefault="00F15BFA" w:rsidP="001D71B9">
            <w:pPr>
              <w:jc w:val="center"/>
              <w:rPr>
                <w:bCs/>
                <w:sz w:val="22"/>
                <w:szCs w:val="22"/>
              </w:rPr>
            </w:pPr>
            <w:r w:rsidRPr="00F15BFA">
              <w:rPr>
                <w:bCs/>
                <w:sz w:val="22"/>
                <w:szCs w:val="22"/>
              </w:rPr>
              <w:t>68,6</w:t>
            </w:r>
          </w:p>
          <w:p w14:paraId="1D9CAC7E" w14:textId="1105DD93" w:rsidR="00661EF6" w:rsidRPr="00F15BFA" w:rsidRDefault="00661EF6" w:rsidP="001D71B9">
            <w:pPr>
              <w:jc w:val="center"/>
              <w:rPr>
                <w:bCs/>
                <w:sz w:val="22"/>
                <w:szCs w:val="22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3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1E922E2D" w14:textId="41856702" w:rsidR="00D634E8" w:rsidRPr="00F15BFA" w:rsidRDefault="00F15BFA" w:rsidP="00F15BFA">
            <w:pPr>
              <w:rPr>
                <w:iCs/>
                <w:color w:val="808080"/>
                <w:sz w:val="22"/>
                <w:szCs w:val="22"/>
              </w:rPr>
            </w:pPr>
            <w:r w:rsidRPr="00F15BFA">
              <w:rPr>
                <w:iCs/>
                <w:sz w:val="22"/>
                <w:szCs w:val="22"/>
              </w:rPr>
              <w:t>V</w:t>
            </w:r>
            <w:r>
              <w:rPr>
                <w:iCs/>
                <w:sz w:val="22"/>
                <w:szCs w:val="22"/>
              </w:rPr>
              <w:t>idaus reikalų ministerijos</w:t>
            </w:r>
            <w:r w:rsidRPr="00F15BFA">
              <w:rPr>
                <w:iCs/>
                <w:sz w:val="22"/>
                <w:szCs w:val="22"/>
              </w:rPr>
              <w:t xml:space="preserve"> 2025</w:t>
            </w:r>
            <w:r>
              <w:rPr>
                <w:iCs/>
                <w:sz w:val="22"/>
                <w:szCs w:val="22"/>
              </w:rPr>
              <w:t xml:space="preserve"> m. sausio 1</w:t>
            </w:r>
            <w:r w:rsidR="00633DF6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 xml:space="preserve"> d.</w:t>
            </w:r>
            <w:r w:rsidRPr="00F15BFA">
              <w:rPr>
                <w:iCs/>
                <w:sz w:val="22"/>
                <w:szCs w:val="22"/>
              </w:rPr>
              <w:t xml:space="preserve"> pateikta informacija</w:t>
            </w:r>
          </w:p>
        </w:tc>
        <w:tc>
          <w:tcPr>
            <w:tcW w:w="3260" w:type="dxa"/>
          </w:tcPr>
          <w:p w14:paraId="69022400" w14:textId="77777777" w:rsidR="00D634E8" w:rsidRDefault="00D634E8">
            <w:pPr>
              <w:jc w:val="both"/>
              <w:rPr>
                <w:b/>
                <w:color w:val="808080"/>
                <w:sz w:val="20"/>
              </w:rPr>
            </w:pPr>
          </w:p>
        </w:tc>
      </w:tr>
      <w:tr w:rsidR="00D634E8" w14:paraId="265B3254" w14:textId="77777777">
        <w:tc>
          <w:tcPr>
            <w:tcW w:w="1830" w:type="dxa"/>
            <w:vMerge/>
          </w:tcPr>
          <w:p w14:paraId="3D52801E" w14:textId="77777777" w:rsidR="00D634E8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2109E062" w14:textId="54C4E824" w:rsidR="00D634E8" w:rsidRPr="00166112" w:rsidRDefault="00166112" w:rsidP="00166112">
            <w:pPr>
              <w:rPr>
                <w:b/>
                <w:color w:val="808080"/>
                <w:sz w:val="20"/>
              </w:rPr>
            </w:pPr>
            <w:r w:rsidRPr="00166112">
              <w:rPr>
                <w:sz w:val="20"/>
                <w:shd w:val="clear" w:color="auto" w:fill="FFFFFF"/>
              </w:rPr>
              <w:t>Sąvartynuose šalinamų komunalinių atliekų dalis</w:t>
            </w:r>
            <w:r>
              <w:rPr>
                <w:sz w:val="20"/>
                <w:shd w:val="clear" w:color="auto" w:fill="FFFFFF"/>
              </w:rPr>
              <w:t>,</w:t>
            </w:r>
            <w:r w:rsidRPr="00166112">
              <w:rPr>
                <w:sz w:val="20"/>
                <w:shd w:val="clear" w:color="auto" w:fill="FFFFFF"/>
              </w:rPr>
              <w:t xml:space="preserve"> proc</w:t>
            </w:r>
            <w:r>
              <w:rPr>
                <w:sz w:val="20"/>
                <w:shd w:val="clear" w:color="auto" w:fill="FFFFFF"/>
              </w:rPr>
              <w:t>entai</w:t>
            </w:r>
          </w:p>
        </w:tc>
        <w:tc>
          <w:tcPr>
            <w:tcW w:w="1764" w:type="dxa"/>
          </w:tcPr>
          <w:p w14:paraId="4BFC9DC6" w14:textId="77777777" w:rsidR="007D21E6" w:rsidRPr="001E4453" w:rsidRDefault="007D21E6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12F1CF25" w14:textId="353D8687" w:rsidR="00D634E8" w:rsidRDefault="007D21E6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(2022 m.)</w:t>
            </w:r>
          </w:p>
        </w:tc>
        <w:tc>
          <w:tcPr>
            <w:tcW w:w="1634" w:type="dxa"/>
          </w:tcPr>
          <w:p w14:paraId="4F270DC0" w14:textId="40E71414" w:rsidR="007D21E6" w:rsidRPr="001E4453" w:rsidRDefault="007D21E6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61A4731D" w14:textId="45720406" w:rsidR="00D634E8" w:rsidRDefault="007D21E6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9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1334" w:type="dxa"/>
          </w:tcPr>
          <w:p w14:paraId="7D7B5F1F" w14:textId="77777777" w:rsidR="00D634E8" w:rsidRDefault="00F15BFA" w:rsidP="00FE074D">
            <w:pPr>
              <w:jc w:val="center"/>
              <w:rPr>
                <w:bCs/>
                <w:sz w:val="22"/>
                <w:szCs w:val="22"/>
              </w:rPr>
            </w:pPr>
            <w:r w:rsidRPr="00F15BFA">
              <w:rPr>
                <w:bCs/>
                <w:sz w:val="22"/>
                <w:szCs w:val="22"/>
              </w:rPr>
              <w:t>16,4</w:t>
            </w:r>
          </w:p>
          <w:p w14:paraId="7CE113F8" w14:textId="29C7975B" w:rsidR="00661EF6" w:rsidRPr="00F15BFA" w:rsidRDefault="00661EF6" w:rsidP="00FE074D">
            <w:pPr>
              <w:jc w:val="center"/>
              <w:rPr>
                <w:bCs/>
                <w:sz w:val="22"/>
                <w:szCs w:val="22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3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61C81BA2" w14:textId="2B646D31" w:rsidR="00D634E8" w:rsidRPr="00F15BFA" w:rsidRDefault="00F15BFA" w:rsidP="00F15BFA">
            <w:pPr>
              <w:rPr>
                <w:iCs/>
                <w:color w:val="808080"/>
                <w:sz w:val="20"/>
              </w:rPr>
            </w:pPr>
            <w:r w:rsidRPr="00F15BFA">
              <w:rPr>
                <w:iCs/>
                <w:sz w:val="22"/>
                <w:szCs w:val="22"/>
              </w:rPr>
              <w:t>V</w:t>
            </w:r>
            <w:r>
              <w:rPr>
                <w:iCs/>
                <w:sz w:val="22"/>
                <w:szCs w:val="22"/>
              </w:rPr>
              <w:t>idaus reikalų ministerijos</w:t>
            </w:r>
            <w:r w:rsidRPr="00F15BFA">
              <w:rPr>
                <w:iCs/>
                <w:sz w:val="22"/>
                <w:szCs w:val="22"/>
              </w:rPr>
              <w:t xml:space="preserve"> 2025</w:t>
            </w:r>
            <w:r>
              <w:rPr>
                <w:iCs/>
                <w:sz w:val="22"/>
                <w:szCs w:val="22"/>
              </w:rPr>
              <w:t xml:space="preserve"> m. sausio 1</w:t>
            </w:r>
            <w:r w:rsidR="00633DF6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 xml:space="preserve"> d.</w:t>
            </w:r>
            <w:r w:rsidRPr="00F15BFA">
              <w:rPr>
                <w:iCs/>
                <w:sz w:val="22"/>
                <w:szCs w:val="22"/>
              </w:rPr>
              <w:t xml:space="preserve"> pateikta informacija</w:t>
            </w:r>
          </w:p>
        </w:tc>
        <w:tc>
          <w:tcPr>
            <w:tcW w:w="3260" w:type="dxa"/>
          </w:tcPr>
          <w:p w14:paraId="54D91082" w14:textId="77777777" w:rsidR="00D634E8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</w:tr>
      <w:tr w:rsidR="00FE26C0" w:rsidRPr="00FE26C0" w14:paraId="36FADFCB" w14:textId="77777777">
        <w:tc>
          <w:tcPr>
            <w:tcW w:w="1830" w:type="dxa"/>
            <w:vMerge w:val="restart"/>
          </w:tcPr>
          <w:p w14:paraId="4C26DDC2" w14:textId="0AD08310" w:rsidR="00ED743C" w:rsidRDefault="00ED743C" w:rsidP="00ED743C">
            <w:pPr>
              <w:widowControl w:val="0"/>
              <w:suppressAutoHyphens/>
              <w:rPr>
                <w:rFonts w:eastAsia="Calibri"/>
                <w:i/>
                <w:color w:val="808080"/>
                <w:sz w:val="22"/>
                <w:szCs w:val="22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1.1</w:t>
            </w:r>
            <w:r w:rsidR="00B9165E" w:rsidRPr="00B9165E">
              <w:rPr>
                <w:rFonts w:eastAsia="Calibri"/>
                <w:b/>
                <w:bCs/>
                <w:sz w:val="22"/>
                <w:szCs w:val="22"/>
              </w:rPr>
              <w:t xml:space="preserve"> uždavinys.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E4453">
              <w:rPr>
                <w:rFonts w:eastAsia="Calibri"/>
                <w:sz w:val="22"/>
                <w:szCs w:val="22"/>
              </w:rPr>
              <w:t>Padidinti regiono investicinį patrauklumą ir pagerinti verslui palankią aplinką</w:t>
            </w:r>
          </w:p>
          <w:p w14:paraId="13A697F6" w14:textId="76B9ACCB" w:rsidR="00ED743C" w:rsidRDefault="00ED743C">
            <w:pPr>
              <w:ind w:left="360" w:hanging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79206ADE" w14:textId="18C0E820" w:rsidR="00ED743C" w:rsidRPr="00ED743C" w:rsidRDefault="00ED743C" w:rsidP="00ED743C">
            <w:pPr>
              <w:rPr>
                <w:i/>
                <w:color w:val="808080"/>
                <w:sz w:val="20"/>
              </w:rPr>
            </w:pPr>
            <w:r w:rsidRPr="00ED743C">
              <w:rPr>
                <w:sz w:val="20"/>
              </w:rPr>
              <w:t>Sukurtos arba atkurtos teritorijos, naudojamos ekonominei, rekreacinei ar turizmo paskirčiai (hektarai)</w:t>
            </w:r>
          </w:p>
        </w:tc>
        <w:tc>
          <w:tcPr>
            <w:tcW w:w="1764" w:type="dxa"/>
          </w:tcPr>
          <w:p w14:paraId="279FBBDF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BB0B0D2" w14:textId="35F72850" w:rsidR="00ED743C" w:rsidRPr="005C7165" w:rsidRDefault="00FE26C0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68E1809E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13,8</w:t>
            </w:r>
          </w:p>
          <w:p w14:paraId="747C50F6" w14:textId="2E10237D" w:rsidR="00ED743C" w:rsidRPr="005C7165" w:rsidRDefault="00FE26C0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36AD2954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03AE420" w14:textId="12065279" w:rsidR="00ED743C" w:rsidRDefault="00337267" w:rsidP="00337267">
            <w:pPr>
              <w:jc w:val="center"/>
              <w:rPr>
                <w:b/>
                <w:color w:val="808080"/>
                <w:sz w:val="20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4E4E9C15" w14:textId="2CC9C0D6" w:rsidR="00ED743C" w:rsidRPr="00337267" w:rsidRDefault="00337267" w:rsidP="00337267">
            <w:pPr>
              <w:rPr>
                <w:iCs/>
                <w:color w:val="808080"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38C6A028" w14:textId="514D34B1" w:rsidR="00ED743C" w:rsidRPr="005C7165" w:rsidRDefault="00ED743C" w:rsidP="00FE26C0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</w:t>
            </w:r>
            <w:r w:rsidR="00FE26C0" w:rsidRPr="005C7165">
              <w:rPr>
                <w:iCs/>
                <w:sz w:val="22"/>
                <w:szCs w:val="22"/>
              </w:rPr>
              <w:t>yra</w:t>
            </w:r>
            <w:r w:rsidRPr="005C7165">
              <w:rPr>
                <w:iCs/>
                <w:sz w:val="22"/>
                <w:szCs w:val="22"/>
              </w:rPr>
              <w:t xml:space="preserve"> maža</w:t>
            </w:r>
            <w:r w:rsidR="00FE26C0" w:rsidRPr="005C7165">
              <w:rPr>
                <w:iCs/>
                <w:sz w:val="22"/>
                <w:szCs w:val="22"/>
              </w:rPr>
              <w:t>.</w:t>
            </w:r>
            <w:r w:rsidRPr="005C7165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37267" w:rsidRPr="00FE26C0" w14:paraId="69BE02C2" w14:textId="77777777" w:rsidTr="00ED743C">
        <w:trPr>
          <w:trHeight w:val="472"/>
        </w:trPr>
        <w:tc>
          <w:tcPr>
            <w:tcW w:w="1830" w:type="dxa"/>
            <w:vMerge/>
          </w:tcPr>
          <w:p w14:paraId="5168509A" w14:textId="77777777" w:rsidR="00337267" w:rsidRDefault="00337267" w:rsidP="00337267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29E90654" w14:textId="49933369" w:rsidR="00337267" w:rsidRPr="00ED743C" w:rsidRDefault="00337267" w:rsidP="00337267">
            <w:pPr>
              <w:rPr>
                <w:i/>
                <w:color w:val="808080"/>
                <w:sz w:val="20"/>
              </w:rPr>
            </w:pPr>
            <w:r w:rsidRPr="00ED743C">
              <w:rPr>
                <w:sz w:val="20"/>
              </w:rPr>
              <w:t xml:space="preserve">Metinis konsoliduotų viešųjų paslaugų vartotojų skaičius </w:t>
            </w:r>
            <w:r w:rsidRPr="00ED743C">
              <w:rPr>
                <w:sz w:val="20"/>
              </w:rPr>
              <w:lastRenderedPageBreak/>
              <w:t>(vartotojai per metus)</w:t>
            </w:r>
          </w:p>
        </w:tc>
        <w:tc>
          <w:tcPr>
            <w:tcW w:w="1764" w:type="dxa"/>
          </w:tcPr>
          <w:p w14:paraId="60E7B7FA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lastRenderedPageBreak/>
              <w:t>0</w:t>
            </w:r>
          </w:p>
          <w:p w14:paraId="6BA48AF2" w14:textId="3489D181" w:rsidR="00337267" w:rsidRPr="005C7165" w:rsidRDefault="00337267" w:rsidP="00337267">
            <w:pPr>
              <w:jc w:val="center"/>
              <w:rPr>
                <w:i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03BE5D2F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18 950</w:t>
            </w:r>
          </w:p>
          <w:p w14:paraId="22735C3A" w14:textId="39097977" w:rsidR="00337267" w:rsidRPr="005C7165" w:rsidRDefault="00337267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06C2B17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EA5EFB7" w14:textId="10BDF2FE" w:rsidR="00337267" w:rsidRDefault="00337267" w:rsidP="00337267">
            <w:pPr>
              <w:jc w:val="center"/>
              <w:rPr>
                <w:b/>
                <w:color w:val="808080"/>
                <w:sz w:val="20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7EEA26BA" w14:textId="621FA162" w:rsidR="00337267" w:rsidRDefault="00337267" w:rsidP="00337267">
            <w:pPr>
              <w:rPr>
                <w:i/>
                <w:color w:val="808080"/>
                <w:sz w:val="20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77DCB94F" w14:textId="425F6F6B" w:rsidR="00337267" w:rsidRPr="005C7165" w:rsidRDefault="00337267" w:rsidP="00337267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ED743C" w14:paraId="7202B2C6" w14:textId="77777777">
        <w:trPr>
          <w:trHeight w:val="219"/>
        </w:trPr>
        <w:tc>
          <w:tcPr>
            <w:tcW w:w="1830" w:type="dxa"/>
            <w:vMerge/>
          </w:tcPr>
          <w:p w14:paraId="23A8F3C5" w14:textId="77777777" w:rsidR="00ED743C" w:rsidRDefault="00ED743C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239C9BEB" w14:textId="7F80DEB1" w:rsidR="00ED743C" w:rsidRPr="00ED743C" w:rsidRDefault="00ED743C" w:rsidP="00ED743C">
            <w:pPr>
              <w:rPr>
                <w:sz w:val="20"/>
              </w:rPr>
            </w:pPr>
            <w:r w:rsidRPr="00ED743C">
              <w:rPr>
                <w:sz w:val="20"/>
              </w:rPr>
              <w:t>Bendrai teikiamų viešųjų paslaugų skaičius (vnt.)</w:t>
            </w:r>
          </w:p>
        </w:tc>
        <w:tc>
          <w:tcPr>
            <w:tcW w:w="1764" w:type="dxa"/>
          </w:tcPr>
          <w:p w14:paraId="263719FB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A16478F" w14:textId="2AEC7D0A" w:rsidR="00ED743C" w:rsidRPr="005C7165" w:rsidRDefault="00FE26C0" w:rsidP="00FE26C0">
            <w:pPr>
              <w:jc w:val="center"/>
              <w:rPr>
                <w:iCs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3DE0C7CC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2</w:t>
            </w:r>
          </w:p>
          <w:p w14:paraId="53C413D6" w14:textId="735DB945" w:rsidR="00ED743C" w:rsidRPr="005C7165" w:rsidRDefault="00FE26C0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6D11177F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439DF3F" w14:textId="43BF6523" w:rsidR="00ED743C" w:rsidRPr="005C7165" w:rsidRDefault="00337267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5B3639F1" w14:textId="12D878AB" w:rsidR="00ED743C" w:rsidRPr="005C7165" w:rsidRDefault="00337267" w:rsidP="00337267">
            <w:pPr>
              <w:rPr>
                <w:i/>
                <w:color w:val="808080"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4A59CC62" w14:textId="5D7C207A" w:rsidR="00ED743C" w:rsidRPr="005C7165" w:rsidRDefault="000A2229" w:rsidP="000A2229">
            <w:pPr>
              <w:rPr>
                <w:i/>
                <w:color w:val="808080"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0A2229" w14:paraId="0C504151" w14:textId="77777777">
        <w:tc>
          <w:tcPr>
            <w:tcW w:w="1830" w:type="dxa"/>
            <w:vMerge w:val="restart"/>
          </w:tcPr>
          <w:p w14:paraId="397CBE71" w14:textId="1DEADC97" w:rsidR="000A2229" w:rsidRDefault="000A2229" w:rsidP="00ED743C">
            <w:pPr>
              <w:widowControl w:val="0"/>
              <w:suppressAutoHyphens/>
              <w:rPr>
                <w:i/>
                <w:color w:val="808080"/>
                <w:sz w:val="20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1.2</w:t>
            </w:r>
            <w:r w:rsidR="00B9165E" w:rsidRPr="00B9165E">
              <w:rPr>
                <w:rFonts w:eastAsia="Calibri"/>
                <w:b/>
                <w:bCs/>
                <w:sz w:val="22"/>
                <w:szCs w:val="22"/>
              </w:rPr>
              <w:t xml:space="preserve"> uždavinys:</w:t>
            </w:r>
            <w:r w:rsidR="00B9165E">
              <w:rPr>
                <w:rFonts w:eastAsia="Calibri"/>
                <w:sz w:val="22"/>
                <w:szCs w:val="22"/>
              </w:rPr>
              <w:t xml:space="preserve"> Pri</w:t>
            </w:r>
            <w:r>
              <w:rPr>
                <w:rFonts w:eastAsia="Calibri"/>
                <w:sz w:val="22"/>
                <w:szCs w:val="22"/>
              </w:rPr>
              <w:t>taikyti g</w:t>
            </w:r>
            <w:r w:rsidRPr="008A2F45">
              <w:rPr>
                <w:rFonts w:eastAsia="Calibri"/>
                <w:sz w:val="22"/>
                <w:szCs w:val="22"/>
              </w:rPr>
              <w:t>amtos ir kultūros objekt</w:t>
            </w:r>
            <w:r>
              <w:rPr>
                <w:rFonts w:eastAsia="Calibri"/>
                <w:sz w:val="22"/>
                <w:szCs w:val="22"/>
              </w:rPr>
              <w:t>us</w:t>
            </w:r>
            <w:r w:rsidRPr="008A2F45">
              <w:rPr>
                <w:rFonts w:eastAsia="Calibri"/>
                <w:sz w:val="22"/>
                <w:szCs w:val="22"/>
              </w:rPr>
              <w:t xml:space="preserve"> lankymui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A2F4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gerinti </w:t>
            </w:r>
            <w:r w:rsidRPr="008A2F45">
              <w:rPr>
                <w:rFonts w:eastAsia="Calibri"/>
                <w:sz w:val="22"/>
                <w:szCs w:val="22"/>
              </w:rPr>
              <w:t>informaci</w:t>
            </w:r>
            <w:r>
              <w:rPr>
                <w:rFonts w:eastAsia="Calibri"/>
                <w:sz w:val="22"/>
                <w:szCs w:val="22"/>
              </w:rPr>
              <w:t>jo</w:t>
            </w:r>
            <w:r w:rsidRPr="008A2F45">
              <w:rPr>
                <w:rFonts w:eastAsia="Calibri"/>
                <w:sz w:val="22"/>
                <w:szCs w:val="22"/>
              </w:rPr>
              <w:t>s sklaid</w:t>
            </w:r>
            <w:r>
              <w:rPr>
                <w:rFonts w:eastAsia="Calibri"/>
                <w:sz w:val="22"/>
                <w:szCs w:val="22"/>
              </w:rPr>
              <w:t>ą</w:t>
            </w:r>
          </w:p>
        </w:tc>
        <w:tc>
          <w:tcPr>
            <w:tcW w:w="1569" w:type="dxa"/>
          </w:tcPr>
          <w:p w14:paraId="01A2D975" w14:textId="4EA8FAF7" w:rsidR="000A2229" w:rsidRPr="005C7165" w:rsidRDefault="000A2229" w:rsidP="005C7165">
            <w:pPr>
              <w:rPr>
                <w:i/>
                <w:color w:val="808080"/>
                <w:sz w:val="20"/>
              </w:rPr>
            </w:pPr>
            <w:r w:rsidRPr="005C7165">
              <w:rPr>
                <w:sz w:val="20"/>
              </w:rPr>
              <w:t>Sukurtos arba atkurtos teritorijos, naudojamos ekonominei, rekreacinei ar turizmo paskirčiai (hektarai)</w:t>
            </w:r>
          </w:p>
        </w:tc>
        <w:tc>
          <w:tcPr>
            <w:tcW w:w="1764" w:type="dxa"/>
          </w:tcPr>
          <w:p w14:paraId="51D3889B" w14:textId="337B7CCC" w:rsidR="000A2229" w:rsidRPr="005C7165" w:rsidRDefault="000A2229" w:rsidP="005C7165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5F7D2043" w14:textId="06A71376" w:rsidR="000A2229" w:rsidRPr="005C7165" w:rsidRDefault="000A2229" w:rsidP="005C7165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12E3D79D" w14:textId="77777777" w:rsidR="000A2229" w:rsidRPr="005C7165" w:rsidRDefault="000A2229" w:rsidP="005C7165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178,6537</w:t>
            </w:r>
          </w:p>
          <w:p w14:paraId="5E4BA479" w14:textId="49D35B5B" w:rsidR="000A2229" w:rsidRPr="005C7165" w:rsidRDefault="000A2229" w:rsidP="005C7165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2097CF40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16F19E1C" w14:textId="7AF6946D" w:rsidR="000A2229" w:rsidRPr="005C7165" w:rsidRDefault="00337267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4E4B5E14" w14:textId="26DFB032" w:rsidR="000A2229" w:rsidRPr="005C7165" w:rsidRDefault="00337267" w:rsidP="00337267">
            <w:pPr>
              <w:rPr>
                <w:b/>
                <w:color w:val="808080"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3C65112A" w14:textId="05D530F6" w:rsidR="000A2229" w:rsidRPr="005C7165" w:rsidRDefault="000A2229" w:rsidP="000A2229">
            <w:pPr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0A2229" w14:paraId="7AA76E14" w14:textId="77777777" w:rsidTr="000A2229">
        <w:trPr>
          <w:trHeight w:val="1616"/>
        </w:trPr>
        <w:tc>
          <w:tcPr>
            <w:tcW w:w="1830" w:type="dxa"/>
            <w:vMerge/>
          </w:tcPr>
          <w:p w14:paraId="7DE677B8" w14:textId="77777777" w:rsidR="000A2229" w:rsidRDefault="000A2229">
            <w:pPr>
              <w:ind w:left="360"/>
              <w:jc w:val="both"/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0D8BCFFF" w14:textId="75437132" w:rsidR="000A2229" w:rsidRPr="005C7165" w:rsidRDefault="000A2229" w:rsidP="000A2229">
            <w:pPr>
              <w:rPr>
                <w:i/>
                <w:sz w:val="20"/>
              </w:rPr>
            </w:pPr>
            <w:r w:rsidRPr="005C7165">
              <w:rPr>
                <w:sz w:val="20"/>
              </w:rPr>
              <w:t>Metinis konsoliduotų viešųjų paslaugų vartotojų skaičius (</w:t>
            </w:r>
            <w:r w:rsidRPr="005C7165">
              <w:rPr>
                <w:sz w:val="20"/>
                <w:lang w:eastAsia="en-GB"/>
              </w:rPr>
              <w:t>vartotojai per metus)</w:t>
            </w:r>
          </w:p>
        </w:tc>
        <w:tc>
          <w:tcPr>
            <w:tcW w:w="1764" w:type="dxa"/>
          </w:tcPr>
          <w:p w14:paraId="22111B91" w14:textId="77777777" w:rsidR="000A2229" w:rsidRPr="005C7165" w:rsidRDefault="000A2229" w:rsidP="000A2229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7B730BE" w14:textId="055B3C42" w:rsidR="000A2229" w:rsidRPr="005C7165" w:rsidRDefault="000A2229" w:rsidP="000A2229">
            <w:pPr>
              <w:jc w:val="center"/>
              <w:rPr>
                <w:i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67B5AF33" w14:textId="77777777" w:rsidR="000A2229" w:rsidRPr="000A2229" w:rsidRDefault="000A2229" w:rsidP="000A2229">
            <w:pPr>
              <w:pStyle w:val="Default"/>
              <w:jc w:val="center"/>
              <w:rPr>
                <w:sz w:val="22"/>
                <w:szCs w:val="22"/>
              </w:rPr>
            </w:pPr>
            <w:r w:rsidRPr="000A2229">
              <w:rPr>
                <w:sz w:val="22"/>
                <w:szCs w:val="22"/>
              </w:rPr>
              <w:t>16 750</w:t>
            </w:r>
          </w:p>
          <w:p w14:paraId="59D5D153" w14:textId="400F1F87" w:rsidR="000A2229" w:rsidRPr="005C7165" w:rsidRDefault="000A2229" w:rsidP="000A2229">
            <w:pPr>
              <w:jc w:val="center"/>
              <w:rPr>
                <w:b/>
                <w:sz w:val="22"/>
                <w:szCs w:val="22"/>
              </w:rPr>
            </w:pPr>
            <w:r w:rsidRPr="000A2229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60A9130E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7ACC30FE" w14:textId="514CEADC" w:rsidR="000A2229" w:rsidRPr="005C7165" w:rsidRDefault="00337267" w:rsidP="00337267">
            <w:pPr>
              <w:jc w:val="center"/>
              <w:rPr>
                <w:b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06808A4C" w14:textId="6E772682" w:rsidR="000A2229" w:rsidRPr="005C7165" w:rsidRDefault="00337267" w:rsidP="00337267">
            <w:pPr>
              <w:rPr>
                <w:b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0C462934" w14:textId="14CA5F66" w:rsidR="000A2229" w:rsidRPr="005C7165" w:rsidRDefault="000A2229" w:rsidP="000A2229">
            <w:pPr>
              <w:rPr>
                <w:b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10A0A" w14:paraId="298B426E" w14:textId="77777777">
        <w:trPr>
          <w:trHeight w:val="225"/>
        </w:trPr>
        <w:tc>
          <w:tcPr>
            <w:tcW w:w="1830" w:type="dxa"/>
            <w:vMerge/>
          </w:tcPr>
          <w:p w14:paraId="560CBDD9" w14:textId="77777777" w:rsidR="00C10A0A" w:rsidRDefault="00C10A0A" w:rsidP="00C10A0A">
            <w:pPr>
              <w:ind w:left="360"/>
              <w:jc w:val="both"/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41DC23FF" w14:textId="3475DE4A" w:rsidR="00C10A0A" w:rsidRPr="005C7165" w:rsidRDefault="00C10A0A" w:rsidP="00C10A0A">
            <w:pPr>
              <w:rPr>
                <w:sz w:val="20"/>
              </w:rPr>
            </w:pPr>
            <w:r w:rsidRPr="00ED743C">
              <w:rPr>
                <w:sz w:val="20"/>
              </w:rPr>
              <w:t>Bendrai teikiamų viešųjų paslaugų skaičius (vnt.)</w:t>
            </w:r>
          </w:p>
        </w:tc>
        <w:tc>
          <w:tcPr>
            <w:tcW w:w="1764" w:type="dxa"/>
          </w:tcPr>
          <w:p w14:paraId="28DD89B0" w14:textId="77777777" w:rsidR="00C10A0A" w:rsidRPr="005C7165" w:rsidRDefault="00C10A0A" w:rsidP="00C10A0A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55DB246" w14:textId="55F7DF61" w:rsidR="00C10A0A" w:rsidRPr="005C7165" w:rsidRDefault="00C10A0A" w:rsidP="00C10A0A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21418028" w14:textId="77777777" w:rsidR="00C10A0A" w:rsidRPr="005C7165" w:rsidRDefault="00C10A0A" w:rsidP="00C10A0A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2</w:t>
            </w:r>
          </w:p>
          <w:p w14:paraId="668CE997" w14:textId="68DE31EE" w:rsidR="00C10A0A" w:rsidRPr="000A2229" w:rsidRDefault="00C10A0A" w:rsidP="00C10A0A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1AA4730F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6EA2E9B" w14:textId="31DEB5BB" w:rsidR="00C10A0A" w:rsidRPr="005C7165" w:rsidRDefault="00337267" w:rsidP="00337267">
            <w:pPr>
              <w:jc w:val="center"/>
              <w:rPr>
                <w:b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210AC79A" w14:textId="6C0D39D7" w:rsidR="00C10A0A" w:rsidRPr="005C7165" w:rsidRDefault="00337267" w:rsidP="00337267">
            <w:pPr>
              <w:rPr>
                <w:b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359829E0" w14:textId="2F2E6887" w:rsidR="00C10A0A" w:rsidRPr="005C7165" w:rsidRDefault="00C10A0A" w:rsidP="00C10A0A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51CEAFC9" w14:textId="77777777" w:rsidTr="00740C5F">
        <w:trPr>
          <w:trHeight w:val="428"/>
        </w:trPr>
        <w:tc>
          <w:tcPr>
            <w:tcW w:w="1830" w:type="dxa"/>
            <w:vMerge w:val="restart"/>
          </w:tcPr>
          <w:p w14:paraId="0436EC55" w14:textId="53753D37" w:rsidR="00C751E3" w:rsidRDefault="00C751E3" w:rsidP="00C751E3">
            <w:pPr>
              <w:rPr>
                <w:i/>
                <w:sz w:val="20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1.3</w:t>
            </w:r>
            <w:r w:rsidR="00B9165E" w:rsidRPr="00B9165E">
              <w:rPr>
                <w:rFonts w:eastAsia="Calibri"/>
                <w:b/>
                <w:bCs/>
                <w:sz w:val="22"/>
                <w:szCs w:val="22"/>
              </w:rPr>
              <w:t xml:space="preserve"> uždavinys:</w:t>
            </w:r>
            <w:r w:rsidRPr="003D7CA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Padidinti </w:t>
            </w:r>
            <w:r w:rsidRPr="005A6AE0">
              <w:rPr>
                <w:rFonts w:eastAsia="Calibri"/>
                <w:sz w:val="22"/>
                <w:szCs w:val="22"/>
              </w:rPr>
              <w:t>viešojo keleivinio transpo</w:t>
            </w:r>
            <w:r>
              <w:rPr>
                <w:rFonts w:eastAsia="Calibri"/>
                <w:sz w:val="22"/>
                <w:szCs w:val="22"/>
              </w:rPr>
              <w:t>rto ir atliekų tvarkymo sistemų efektyvumą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A151E1E" w14:textId="38D9AFAA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sz w:val="20"/>
              </w:rPr>
              <w:t>Metinis konsoliduotų viešųjų paslaugų vartotojų skaičius (</w:t>
            </w:r>
            <w:r w:rsidRPr="00C10A0A">
              <w:rPr>
                <w:sz w:val="20"/>
                <w:lang w:eastAsia="en-GB"/>
              </w:rPr>
              <w:t>vartotojai per metus)</w:t>
            </w:r>
          </w:p>
        </w:tc>
        <w:tc>
          <w:tcPr>
            <w:tcW w:w="1764" w:type="dxa"/>
          </w:tcPr>
          <w:p w14:paraId="03148C35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731494E" w14:textId="46537065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13A2BAA6" w14:textId="77777777" w:rsidR="00C751E3" w:rsidRPr="00C10A0A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C10A0A">
              <w:rPr>
                <w:sz w:val="22"/>
                <w:szCs w:val="22"/>
              </w:rPr>
              <w:t>50 800</w:t>
            </w:r>
          </w:p>
          <w:p w14:paraId="28D5F819" w14:textId="64DF2148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C10A0A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7EE9203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39BAADA" w14:textId="26645715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75F649E1" w14:textId="41BFBA56" w:rsidR="00C751E3" w:rsidRDefault="00337267" w:rsidP="00337267">
            <w:pPr>
              <w:rPr>
                <w:b/>
                <w:sz w:val="20"/>
                <w:u w:val="single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047D3108" w14:textId="0918A957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74C6AC7C" w14:textId="77777777" w:rsidTr="00740C5F">
        <w:trPr>
          <w:trHeight w:val="498"/>
        </w:trPr>
        <w:tc>
          <w:tcPr>
            <w:tcW w:w="1830" w:type="dxa"/>
            <w:vMerge/>
          </w:tcPr>
          <w:p w14:paraId="5C74828F" w14:textId="77777777" w:rsidR="00C751E3" w:rsidRPr="003D7CAE" w:rsidRDefault="00C751E3" w:rsidP="00C751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591" w14:textId="1234E82C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rFonts w:eastAsia="Calibri"/>
                <w:sz w:val="20"/>
              </w:rPr>
              <w:t>Surinktos atskirai išrūšiuotos atliekos (tonos per metus)</w:t>
            </w:r>
          </w:p>
        </w:tc>
        <w:tc>
          <w:tcPr>
            <w:tcW w:w="1764" w:type="dxa"/>
          </w:tcPr>
          <w:p w14:paraId="0A0BB3CE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993D1EA" w14:textId="7DFD9988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66E56F2F" w14:textId="77777777" w:rsidR="00C751E3" w:rsidRDefault="00C751E3" w:rsidP="00C751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1 981</w:t>
            </w:r>
          </w:p>
          <w:p w14:paraId="26E8C9C3" w14:textId="0AE7536A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sz w:val="23"/>
                <w:szCs w:val="23"/>
              </w:rPr>
              <w:t>(2029 m.)</w:t>
            </w:r>
          </w:p>
        </w:tc>
        <w:tc>
          <w:tcPr>
            <w:tcW w:w="1334" w:type="dxa"/>
          </w:tcPr>
          <w:p w14:paraId="726D79DF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B9109D1" w14:textId="6CE95785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163277D0" w14:textId="735C40D8" w:rsidR="00C751E3" w:rsidRDefault="00337267" w:rsidP="00337267">
            <w:pPr>
              <w:rPr>
                <w:b/>
                <w:sz w:val="20"/>
                <w:u w:val="single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292B14B8" w14:textId="12251366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7EE7AF9E" w14:textId="77777777" w:rsidTr="00740C5F">
        <w:trPr>
          <w:trHeight w:val="589"/>
        </w:trPr>
        <w:tc>
          <w:tcPr>
            <w:tcW w:w="1830" w:type="dxa"/>
            <w:vMerge/>
          </w:tcPr>
          <w:p w14:paraId="2E69AAF7" w14:textId="77777777" w:rsidR="00C751E3" w:rsidRPr="003D7CAE" w:rsidRDefault="00C751E3" w:rsidP="00C751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D09C93" w14:textId="12BBAA8B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sz w:val="20"/>
              </w:rPr>
              <w:t>Bendrai teikiamų viešųjų paslaugų skaičius (vnt.)</w:t>
            </w:r>
          </w:p>
        </w:tc>
        <w:tc>
          <w:tcPr>
            <w:tcW w:w="1764" w:type="dxa"/>
          </w:tcPr>
          <w:p w14:paraId="04F8035A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C137AE3" w14:textId="39A53A6F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32EB0081" w14:textId="4911A03C" w:rsidR="00C751E3" w:rsidRPr="00C751E3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C751E3">
              <w:rPr>
                <w:sz w:val="22"/>
                <w:szCs w:val="22"/>
              </w:rPr>
              <w:t>1</w:t>
            </w:r>
          </w:p>
          <w:p w14:paraId="025E14E2" w14:textId="7C7F197F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C751E3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ECF7EBA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E53E157" w14:textId="093D97B1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22F8AC23" w14:textId="6C6EA87B" w:rsidR="00C751E3" w:rsidRDefault="00337267" w:rsidP="00337267">
            <w:pPr>
              <w:rPr>
                <w:b/>
                <w:sz w:val="20"/>
                <w:u w:val="single"/>
              </w:rPr>
            </w:pPr>
            <w:r w:rsidRPr="00337267">
              <w:rPr>
                <w:iCs/>
                <w:sz w:val="22"/>
                <w:szCs w:val="22"/>
              </w:rPr>
              <w:t>INVESTIS informacija: 2024 m. nesudaryta nei viena projektų įgyvendinimo sutartis</w:t>
            </w:r>
          </w:p>
        </w:tc>
        <w:tc>
          <w:tcPr>
            <w:tcW w:w="3260" w:type="dxa"/>
          </w:tcPr>
          <w:p w14:paraId="38F089EA" w14:textId="3365EAA6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</w:tbl>
    <w:p w14:paraId="013A8E7C" w14:textId="77777777" w:rsidR="00D634E8" w:rsidRDefault="00D634E8">
      <w:pPr>
        <w:jc w:val="both"/>
        <w:rPr>
          <w:b/>
          <w:szCs w:val="24"/>
          <w:u w:val="single"/>
        </w:rPr>
      </w:pPr>
    </w:p>
    <w:p w14:paraId="3E78E411" w14:textId="2A83B58A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2.Integruotą požiūrį užtikrinančių principų laikymasis</w:t>
      </w:r>
    </w:p>
    <w:p w14:paraId="3ED242C8" w14:textId="77777777" w:rsidR="00D634E8" w:rsidRDefault="00D634E8">
      <w:pPr>
        <w:jc w:val="both"/>
        <w:rPr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8222"/>
      </w:tblGrid>
      <w:tr w:rsidR="00D634E8" w14:paraId="21EBA529" w14:textId="77777777" w:rsidTr="0089230C">
        <w:trPr>
          <w:trHeight w:val="96"/>
        </w:trPr>
        <w:tc>
          <w:tcPr>
            <w:tcW w:w="4111" w:type="dxa"/>
            <w:shd w:val="pct5" w:color="auto" w:fill="auto"/>
          </w:tcPr>
          <w:p w14:paraId="2358D976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Principai</w:t>
            </w:r>
          </w:p>
        </w:tc>
        <w:tc>
          <w:tcPr>
            <w:tcW w:w="1559" w:type="dxa"/>
            <w:shd w:val="pct5" w:color="auto" w:fill="auto"/>
          </w:tcPr>
          <w:p w14:paraId="229B3F70" w14:textId="77777777" w:rsidR="00D634E8" w:rsidRDefault="00F37FDA">
            <w:pPr>
              <w:suppressAutoHyphens/>
              <w:jc w:val="center"/>
              <w:rPr>
                <w:rFonts w:ascii="Calibri" w:eastAsia="Calibri" w:hAnsi="Calibri" w:cs="Vrinda"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>Ar laikomasi</w:t>
            </w:r>
          </w:p>
        </w:tc>
        <w:tc>
          <w:tcPr>
            <w:tcW w:w="8222" w:type="dxa"/>
            <w:shd w:val="pct5" w:color="auto" w:fill="auto"/>
          </w:tcPr>
          <w:p w14:paraId="38DD6EAD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Komentarai</w:t>
            </w:r>
          </w:p>
        </w:tc>
      </w:tr>
      <w:tr w:rsidR="00D634E8" w14:paraId="776C00AB" w14:textId="77777777" w:rsidTr="0089230C">
        <w:trPr>
          <w:trHeight w:val="96"/>
        </w:trPr>
        <w:tc>
          <w:tcPr>
            <w:tcW w:w="4111" w:type="dxa"/>
            <w:shd w:val="pct5" w:color="auto" w:fill="auto"/>
          </w:tcPr>
          <w:p w14:paraId="682BE637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559" w:type="dxa"/>
            <w:shd w:val="pct5" w:color="auto" w:fill="auto"/>
          </w:tcPr>
          <w:p w14:paraId="772BC164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8222" w:type="dxa"/>
            <w:shd w:val="pct5" w:color="auto" w:fill="auto"/>
          </w:tcPr>
          <w:p w14:paraId="64A70B5E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D634E8" w14:paraId="1B8D951E" w14:textId="77777777" w:rsidTr="0089230C">
        <w:trPr>
          <w:trHeight w:val="96"/>
        </w:trPr>
        <w:tc>
          <w:tcPr>
            <w:tcW w:w="4111" w:type="dxa"/>
          </w:tcPr>
          <w:p w14:paraId="05629311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Strategija prisidedama prie</w:t>
            </w:r>
            <w:r>
              <w:rPr>
                <w:szCs w:val="24"/>
              </w:rPr>
              <w:t xml:space="preserve"> 2021–2027 m. Europos Sąjungos fondų investicijų programos (toliau – ESFIP) 5-ojo prioriteto „Piliečiams artimesnė Lietuva“ ir dar bent vieno kito ESFIP prioriteto </w:t>
            </w:r>
            <w:r>
              <w:rPr>
                <w:rFonts w:eastAsia="Calibri"/>
                <w:szCs w:val="24"/>
              </w:rPr>
              <w:t xml:space="preserve">įgyvendinimo </w:t>
            </w:r>
          </w:p>
        </w:tc>
        <w:tc>
          <w:tcPr>
            <w:tcW w:w="1559" w:type="dxa"/>
          </w:tcPr>
          <w:p w14:paraId="31B098DE" w14:textId="36C73C57" w:rsidR="00D634E8" w:rsidRPr="006D09EE" w:rsidRDefault="006D09EE" w:rsidP="006D09EE">
            <w:pPr>
              <w:suppressAutoHyphens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="00F37FDA"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5F628304" w14:textId="77777777" w:rsidR="006D09EE" w:rsidRPr="006D09EE" w:rsidRDefault="006D09EE" w:rsidP="00C919F8">
            <w:pPr>
              <w:widowControl w:val="0"/>
              <w:suppressAutoHyphens/>
              <w:jc w:val="both"/>
              <w:rPr>
                <w:rFonts w:eastAsia="Calibri"/>
                <w:iCs/>
                <w:sz w:val="20"/>
                <w:lang w:eastAsia="lt-LT"/>
              </w:rPr>
            </w:pPr>
            <w:r w:rsidRPr="006D09EE">
              <w:rPr>
                <w:rFonts w:eastAsia="Calibri"/>
                <w:iCs/>
                <w:sz w:val="20"/>
                <w:lang w:eastAsia="lt-LT"/>
              </w:rPr>
              <w:t xml:space="preserve">Pagal FZ strategijos 1 uždavinį „Padidinti regiono investicinį patrauklumą ir pagerinti verslui palankią aplinką“, 2 uždavinį „Gerinti turizmo objektų infrastruktūrą ir informacijos sklaidą“ ir 3 uždavinio pirmą dalį </w:t>
            </w:r>
            <w:r w:rsidRPr="006D09EE">
              <w:rPr>
                <w:rFonts w:eastAsia="Calibri"/>
                <w:bCs/>
                <w:sz w:val="20"/>
              </w:rPr>
              <w:t xml:space="preserve">„Padidinti viešojo keleivinio transporto &lt;...&gt; sistemos efektyvumą“ </w:t>
            </w:r>
            <w:r w:rsidRPr="006D09EE">
              <w:rPr>
                <w:rFonts w:eastAsia="Calibri"/>
                <w:iCs/>
                <w:sz w:val="20"/>
                <w:lang w:eastAsia="lt-LT"/>
              </w:rPr>
              <w:t>numatoma vykdyti veiksmus prisidedant prie 2021–2027 metų Europos Sąjungos fondų investicijų programos 5 prioriteto „Piliečiams artimesnė Lietuva“ 5.2. uždavinio „Skatinti integruotą ir įtraukią socialinę, ekonominę ir aplinkosaugos plėtrą vietos lygmeniu, puoselėti kultūrą, gamtos paveldą, darnų turizmą ir saugumą kitose nei miestų teritorijose“ įgyvendinimo.</w:t>
            </w:r>
          </w:p>
          <w:p w14:paraId="5EE53E22" w14:textId="66AD5006" w:rsidR="00D634E8" w:rsidRDefault="006D09EE" w:rsidP="00C919F8">
            <w:pPr>
              <w:widowControl w:val="0"/>
              <w:suppressAutoHyphens/>
              <w:jc w:val="both"/>
              <w:rPr>
                <w:rFonts w:eastAsia="Calibri"/>
                <w:i/>
                <w:color w:val="808080"/>
                <w:szCs w:val="24"/>
              </w:rPr>
            </w:pPr>
            <w:r w:rsidRPr="006D09EE">
              <w:rPr>
                <w:rFonts w:eastAsia="Calibri"/>
                <w:bCs/>
                <w:sz w:val="20"/>
              </w:rPr>
              <w:t>Pagal FZ strategijos 3 uždavinio antrą dalį „Padidinti &lt;...&gt; atliekų tvarkymo sistemos efektyvumą“ numatoma vykdyti veiksmus prisidedant prie 2021–2027 metų Europos Sąjungos fondų investicijų programos 2 prioriteto „Žalesnė Lietuva“ 2.6. uždavinio „Skatinti perėjimą prie žiedinės ir efektyvaus išteklių naudojimo ekonomikos“ įgyvendinimo.</w:t>
            </w:r>
          </w:p>
        </w:tc>
      </w:tr>
      <w:tr w:rsidR="00D634E8" w14:paraId="3F53E222" w14:textId="77777777" w:rsidTr="0089230C">
        <w:trPr>
          <w:trHeight w:val="96"/>
        </w:trPr>
        <w:tc>
          <w:tcPr>
            <w:tcW w:w="4111" w:type="dxa"/>
          </w:tcPr>
          <w:p w14:paraId="219E4F8E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1559" w:type="dxa"/>
          </w:tcPr>
          <w:p w14:paraId="515EC224" w14:textId="2C6BB991" w:rsidR="00D634E8" w:rsidRDefault="002500D6" w:rsidP="002500D6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3B4ACAD3" w14:textId="68A33B1C" w:rsidR="00D634E8" w:rsidRPr="006D09EE" w:rsidRDefault="006D09EE">
            <w:pPr>
              <w:suppressAutoHyphens/>
              <w:jc w:val="both"/>
              <w:rPr>
                <w:rFonts w:eastAsia="Calibri"/>
                <w:b/>
                <w:sz w:val="20"/>
              </w:rPr>
            </w:pPr>
            <w:r w:rsidRPr="006D09EE">
              <w:rPr>
                <w:rFonts w:eastAsia="Calibri"/>
                <w:iCs/>
                <w:sz w:val="20"/>
                <w:lang w:eastAsia="lt-LT"/>
              </w:rPr>
              <w:t>FZ strategijos veiksmais prisidedama prie efektyvesnio Lietuvos Respublikos vietos savivaldos įstatymo 6 straipsnio 38 dalyje, 8 dalyje, 33 dalyje ir 31 dalyje numatytų savivaldybių funkcijų vykdymo</w:t>
            </w:r>
            <w:r>
              <w:rPr>
                <w:rFonts w:eastAsia="Calibri"/>
                <w:iCs/>
                <w:sz w:val="20"/>
                <w:lang w:eastAsia="lt-LT"/>
              </w:rPr>
              <w:t xml:space="preserve">: </w:t>
            </w:r>
            <w:r w:rsidR="002500D6" w:rsidRPr="002500D6">
              <w:rPr>
                <w:rFonts w:eastAsia="Calibri"/>
                <w:iCs/>
                <w:sz w:val="20"/>
                <w:lang w:eastAsia="lt-LT"/>
              </w:rPr>
              <w:t>planuojama visoms FZ savivaldybėms bendrai koordinuoti išteklius ir taikyti viešinimo priemones</w:t>
            </w:r>
            <w:r w:rsidR="002500D6">
              <w:rPr>
                <w:rFonts w:eastAsia="Calibri"/>
                <w:iCs/>
                <w:sz w:val="20"/>
                <w:lang w:eastAsia="lt-LT"/>
              </w:rPr>
              <w:t>, gerinti infrastruktūrą ir paslaugų kokybę.</w:t>
            </w:r>
            <w:r>
              <w:rPr>
                <w:rFonts w:eastAsia="Calibri"/>
                <w:iCs/>
                <w:sz w:val="20"/>
                <w:lang w:eastAsia="lt-LT"/>
              </w:rPr>
              <w:t xml:space="preserve"> </w:t>
            </w:r>
          </w:p>
        </w:tc>
      </w:tr>
      <w:tr w:rsidR="00D634E8" w14:paraId="13883135" w14:textId="77777777" w:rsidTr="0089230C">
        <w:trPr>
          <w:trHeight w:val="96"/>
        </w:trPr>
        <w:tc>
          <w:tcPr>
            <w:tcW w:w="4111" w:type="dxa"/>
          </w:tcPr>
          <w:p w14:paraId="10171842" w14:textId="67B1CD12" w:rsidR="00D634E8" w:rsidRDefault="002500D6">
            <w:pPr>
              <w:suppressAutoHyphens/>
              <w:jc w:val="both"/>
              <w:rPr>
                <w:rFonts w:eastAsia="Calibri"/>
                <w:szCs w:val="24"/>
              </w:rPr>
            </w:pPr>
            <w:r w:rsidRPr="002500D6">
              <w:rPr>
                <w:rFonts w:eastAsia="Calibri"/>
                <w:szCs w:val="24"/>
              </w:rPr>
              <w:t>Iš kiekvienam uždaviniui priskirtų veiksmų visumos naudą gaus tikslinės grupės dviejose ar daugiau tarpusavyje besiribojančiose ir socialiniais ir (ar) ekonominiais ryšiais susijusiose arba potencialiai tokius ryšius galinčiose suformuoti savivaldybėse.</w:t>
            </w:r>
          </w:p>
        </w:tc>
        <w:tc>
          <w:tcPr>
            <w:tcW w:w="1559" w:type="dxa"/>
          </w:tcPr>
          <w:p w14:paraId="610A50A6" w14:textId="3BBAC53F" w:rsidR="00D634E8" w:rsidRDefault="002500D6" w:rsidP="002500D6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2C4B3DEF" w14:textId="77777777" w:rsidR="00D634E8" w:rsidRDefault="00FE596C" w:rsidP="00FE596C">
            <w:pPr>
              <w:suppressAutoHyphens/>
              <w:jc w:val="both"/>
              <w:rPr>
                <w:rFonts w:eastAsia="Calibri"/>
                <w:bCs/>
                <w:iCs/>
                <w:sz w:val="20"/>
              </w:rPr>
            </w:pPr>
            <w:r w:rsidRPr="00852928">
              <w:rPr>
                <w:rFonts w:eastAsia="Calibri"/>
                <w:bCs/>
                <w:sz w:val="20"/>
              </w:rPr>
              <w:t>Įgyvendinant FZ strategijos 1 uždavinį investicini</w:t>
            </w:r>
            <w:r w:rsidR="00852928"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veiksm</w:t>
            </w:r>
            <w:r w:rsidR="00852928"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1.1.1.–1.1.6. numatoma</w:t>
            </w:r>
            <w:r w:rsidR="00852928">
              <w:rPr>
                <w:rFonts w:eastAsia="Calibri"/>
                <w:bCs/>
                <w:sz w:val="20"/>
              </w:rPr>
              <w:t xml:space="preserve"> </w:t>
            </w:r>
            <w:r w:rsidR="00852928" w:rsidRPr="00852928">
              <w:rPr>
                <w:rFonts w:eastAsia="Calibri"/>
                <w:bCs/>
                <w:iCs/>
                <w:sz w:val="20"/>
              </w:rPr>
              <w:t>įrengti trūkstamą infrastruktūrą ir paruošti sklypus investicijoms</w:t>
            </w:r>
            <w:r w:rsidR="00852928">
              <w:rPr>
                <w:rFonts w:eastAsia="Calibri"/>
                <w:bCs/>
                <w:iCs/>
                <w:sz w:val="20"/>
              </w:rPr>
              <w:t xml:space="preserve">, </w:t>
            </w:r>
            <w:r w:rsidR="00731251" w:rsidRPr="00731251">
              <w:rPr>
                <w:rFonts w:eastAsia="Calibri"/>
                <w:bCs/>
                <w:iCs/>
                <w:sz w:val="20"/>
              </w:rPr>
              <w:t>išplėsti specializuotas</w:t>
            </w:r>
            <w:r w:rsidR="00731251">
              <w:rPr>
                <w:rFonts w:eastAsia="Calibri"/>
                <w:bCs/>
                <w:iCs/>
                <w:sz w:val="20"/>
              </w:rPr>
              <w:t xml:space="preserve"> </w:t>
            </w:r>
            <w:proofErr w:type="spellStart"/>
            <w:r w:rsidR="00731251">
              <w:rPr>
                <w:rFonts w:eastAsia="Calibri"/>
                <w:bCs/>
                <w:iCs/>
                <w:sz w:val="20"/>
              </w:rPr>
              <w:t>bendradarbystės</w:t>
            </w:r>
            <w:proofErr w:type="spellEnd"/>
            <w:r w:rsidR="000A2353">
              <w:rPr>
                <w:rFonts w:eastAsia="Calibri"/>
                <w:bCs/>
                <w:iCs/>
                <w:sz w:val="20"/>
              </w:rPr>
              <w:t xml:space="preserve">, kompetencijų tobulinimo </w:t>
            </w:r>
            <w:r w:rsidR="00731251" w:rsidRPr="00731251">
              <w:rPr>
                <w:rFonts w:eastAsia="Calibri"/>
                <w:bCs/>
                <w:iCs/>
                <w:sz w:val="20"/>
              </w:rPr>
              <w:t>paslaugas</w:t>
            </w:r>
            <w:r w:rsidR="000A2353">
              <w:rPr>
                <w:rFonts w:eastAsia="Calibri"/>
                <w:bCs/>
                <w:iCs/>
                <w:sz w:val="20"/>
              </w:rPr>
              <w:t xml:space="preserve">, </w:t>
            </w:r>
            <w:r w:rsidR="000A2353" w:rsidRPr="000A2353">
              <w:rPr>
                <w:rFonts w:eastAsia="Calibri"/>
                <w:bCs/>
                <w:iCs/>
                <w:sz w:val="20"/>
              </w:rPr>
              <w:t>sukurti amatininkų kompetencijų centrą</w:t>
            </w:r>
            <w:r w:rsidR="000A2353">
              <w:rPr>
                <w:rFonts w:eastAsia="Calibri"/>
                <w:bCs/>
                <w:iCs/>
                <w:sz w:val="20"/>
              </w:rPr>
              <w:t>.</w:t>
            </w:r>
          </w:p>
          <w:p w14:paraId="5C1A1542" w14:textId="77777777" w:rsidR="000A2353" w:rsidRDefault="000A2353" w:rsidP="00FE596C">
            <w:pPr>
              <w:suppressAutoHyphens/>
              <w:jc w:val="both"/>
              <w:rPr>
                <w:rFonts w:eastAsia="Calibri"/>
                <w:bCs/>
                <w:sz w:val="20"/>
              </w:rPr>
            </w:pPr>
            <w:r w:rsidRPr="00852928">
              <w:rPr>
                <w:rFonts w:eastAsia="Calibri"/>
                <w:bCs/>
                <w:sz w:val="20"/>
              </w:rPr>
              <w:t xml:space="preserve">Įgyvendinant FZ strategijos </w:t>
            </w:r>
            <w:r>
              <w:rPr>
                <w:rFonts w:eastAsia="Calibri"/>
                <w:bCs/>
                <w:sz w:val="20"/>
              </w:rPr>
              <w:t>2</w:t>
            </w:r>
            <w:r w:rsidRPr="00852928">
              <w:rPr>
                <w:rFonts w:eastAsia="Calibri"/>
                <w:bCs/>
                <w:sz w:val="20"/>
              </w:rPr>
              <w:t xml:space="preserve"> uždavinį investicini</w:t>
            </w:r>
            <w:r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veiksm</w:t>
            </w:r>
            <w:r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 xml:space="preserve">s </w:t>
            </w:r>
            <w:r w:rsidRPr="000A2353">
              <w:rPr>
                <w:rFonts w:eastAsia="Calibri"/>
                <w:bCs/>
                <w:iCs/>
                <w:sz w:val="20"/>
              </w:rPr>
              <w:t>1.2.1.–1.2.34.</w:t>
            </w:r>
            <w:r>
              <w:rPr>
                <w:rFonts w:eastAsia="Calibri"/>
                <w:bCs/>
                <w:iCs/>
                <w:sz w:val="20"/>
              </w:rPr>
              <w:t xml:space="preserve"> </w:t>
            </w:r>
            <w:r w:rsidRPr="00852928">
              <w:rPr>
                <w:rFonts w:eastAsia="Calibri"/>
                <w:bCs/>
                <w:sz w:val="20"/>
              </w:rPr>
              <w:t>numatoma</w:t>
            </w:r>
            <w:r>
              <w:rPr>
                <w:rFonts w:eastAsia="Calibri"/>
                <w:bCs/>
                <w:sz w:val="20"/>
              </w:rPr>
              <w:t xml:space="preserve"> </w:t>
            </w:r>
            <w:r w:rsidRPr="000A2353">
              <w:rPr>
                <w:rFonts w:eastAsia="Calibri"/>
                <w:bCs/>
                <w:sz w:val="20"/>
              </w:rPr>
              <w:t>pritaikyti lankymui gamtos ir kultūros objektus</w:t>
            </w:r>
            <w:r>
              <w:rPr>
                <w:rFonts w:eastAsia="Calibri"/>
                <w:bCs/>
                <w:sz w:val="20"/>
              </w:rPr>
              <w:t xml:space="preserve">, </w:t>
            </w:r>
            <w:r w:rsidRPr="000A2353">
              <w:rPr>
                <w:rFonts w:eastAsia="Calibri"/>
                <w:bCs/>
                <w:sz w:val="20"/>
              </w:rPr>
              <w:t>formuo</w:t>
            </w:r>
            <w:r>
              <w:rPr>
                <w:rFonts w:eastAsia="Calibri"/>
                <w:bCs/>
                <w:sz w:val="20"/>
              </w:rPr>
              <w:t>ti</w:t>
            </w:r>
            <w:r w:rsidRPr="000A2353">
              <w:rPr>
                <w:rFonts w:eastAsia="Calibri"/>
                <w:bCs/>
                <w:sz w:val="20"/>
              </w:rPr>
              <w:t xml:space="preserve"> bendrus regiono turizmo maršrutus</w:t>
            </w:r>
            <w:r>
              <w:rPr>
                <w:rFonts w:eastAsia="Calibri"/>
                <w:bCs/>
                <w:sz w:val="20"/>
              </w:rPr>
              <w:t>.</w:t>
            </w:r>
          </w:p>
          <w:p w14:paraId="62B6CA71" w14:textId="77777777" w:rsidR="000A2353" w:rsidRDefault="00C919F8" w:rsidP="00FE596C">
            <w:pPr>
              <w:suppressAutoHyphens/>
              <w:jc w:val="both"/>
              <w:rPr>
                <w:rFonts w:eastAsia="Calibri"/>
                <w:bCs/>
                <w:iCs/>
                <w:sz w:val="20"/>
              </w:rPr>
            </w:pPr>
            <w:r w:rsidRPr="00C919F8">
              <w:rPr>
                <w:rFonts w:eastAsia="Calibri"/>
                <w:bCs/>
                <w:sz w:val="20"/>
              </w:rPr>
              <w:t xml:space="preserve">Įgyvendinant FZ strategijos </w:t>
            </w:r>
            <w:r w:rsidR="005917F1">
              <w:rPr>
                <w:rFonts w:eastAsia="Calibri"/>
                <w:bCs/>
                <w:sz w:val="20"/>
              </w:rPr>
              <w:t>3</w:t>
            </w:r>
            <w:r w:rsidRPr="00C919F8">
              <w:rPr>
                <w:rFonts w:eastAsia="Calibri"/>
                <w:bCs/>
                <w:sz w:val="20"/>
              </w:rPr>
              <w:t xml:space="preserve"> uždavinį investiciniais veiksmais </w:t>
            </w:r>
            <w:r w:rsidRPr="00C919F8">
              <w:rPr>
                <w:rFonts w:eastAsia="Calibri"/>
                <w:bCs/>
                <w:iCs/>
                <w:sz w:val="20"/>
              </w:rPr>
              <w:t>1.</w:t>
            </w:r>
            <w:r w:rsidR="005917F1">
              <w:rPr>
                <w:rFonts w:eastAsia="Calibri"/>
                <w:bCs/>
                <w:iCs/>
                <w:sz w:val="20"/>
              </w:rPr>
              <w:t>3</w:t>
            </w:r>
            <w:r w:rsidRPr="00C919F8">
              <w:rPr>
                <w:rFonts w:eastAsia="Calibri"/>
                <w:bCs/>
                <w:iCs/>
                <w:sz w:val="20"/>
              </w:rPr>
              <w:t>.1.–1.</w:t>
            </w:r>
            <w:r w:rsidR="005917F1">
              <w:rPr>
                <w:rFonts w:eastAsia="Calibri"/>
                <w:bCs/>
                <w:iCs/>
                <w:sz w:val="20"/>
              </w:rPr>
              <w:t>3</w:t>
            </w:r>
            <w:r w:rsidRPr="00C919F8">
              <w:rPr>
                <w:rFonts w:eastAsia="Calibri"/>
                <w:bCs/>
                <w:iCs/>
                <w:sz w:val="20"/>
              </w:rPr>
              <w:t>.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2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numatoma padidinti viešojo keleivių transporto paslaugų prieinamumą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, o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 xml:space="preserve"> 1.3.4.–1.3.7. investiciniais veiksmais numatoma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 xml:space="preserve">įrengti 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4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DGAS aikšteles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tam, kad jose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būtų galima surinkti gyventojų atvežamas atliekas, žaliąsias atliekas bei įrengti daiktų dalijimosi stoteles.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</w:t>
            </w:r>
          </w:p>
          <w:p w14:paraId="63C4E4BE" w14:textId="14A19485" w:rsidR="005917F1" w:rsidRPr="00852928" w:rsidRDefault="005917F1" w:rsidP="00FE596C">
            <w:pPr>
              <w:suppressAutoHyphens/>
              <w:jc w:val="both"/>
              <w:rPr>
                <w:rFonts w:eastAsia="Calibri"/>
                <w:bCs/>
                <w:sz w:val="20"/>
              </w:rPr>
            </w:pPr>
            <w:r w:rsidRPr="005917F1">
              <w:rPr>
                <w:rFonts w:eastAsia="Calibri"/>
                <w:bCs/>
                <w:sz w:val="20"/>
              </w:rPr>
              <w:t>Ši</w:t>
            </w:r>
            <w:r>
              <w:rPr>
                <w:rFonts w:eastAsia="Calibri"/>
                <w:bCs/>
                <w:sz w:val="20"/>
              </w:rPr>
              <w:t>ų</w:t>
            </w:r>
            <w:r w:rsidRPr="005917F1">
              <w:rPr>
                <w:rFonts w:eastAsia="Calibri"/>
                <w:bCs/>
                <w:sz w:val="20"/>
              </w:rPr>
              <w:t xml:space="preserve"> </w:t>
            </w:r>
            <w:r>
              <w:rPr>
                <w:rFonts w:eastAsia="Calibri"/>
                <w:bCs/>
                <w:sz w:val="20"/>
              </w:rPr>
              <w:t>1</w:t>
            </w:r>
            <w:r w:rsidR="00A43BA6" w:rsidRPr="000A2353">
              <w:rPr>
                <w:rFonts w:eastAsia="Calibri"/>
                <w:bCs/>
                <w:iCs/>
                <w:sz w:val="20"/>
              </w:rPr>
              <w:t>–</w:t>
            </w:r>
            <w:r>
              <w:rPr>
                <w:rFonts w:eastAsia="Calibri"/>
                <w:bCs/>
                <w:sz w:val="20"/>
              </w:rPr>
              <w:t>3</w:t>
            </w:r>
            <w:r w:rsidRPr="005917F1">
              <w:rPr>
                <w:rFonts w:eastAsia="Calibri"/>
                <w:bCs/>
                <w:sz w:val="20"/>
              </w:rPr>
              <w:t xml:space="preserve"> uždavini</w:t>
            </w:r>
            <w:r>
              <w:rPr>
                <w:rFonts w:eastAsia="Calibri"/>
                <w:bCs/>
                <w:sz w:val="20"/>
              </w:rPr>
              <w:t>ų</w:t>
            </w:r>
            <w:r w:rsidRPr="005917F1">
              <w:rPr>
                <w:rFonts w:eastAsia="Calibri"/>
                <w:bCs/>
                <w:sz w:val="20"/>
              </w:rPr>
              <w:t xml:space="preserve"> investicinių veiksmų visuma leis užtikrinti </w:t>
            </w:r>
            <w:r w:rsidR="006752B2">
              <w:rPr>
                <w:rFonts w:eastAsia="Calibri"/>
                <w:bCs/>
                <w:sz w:val="20"/>
              </w:rPr>
              <w:t xml:space="preserve">informacijos sklaidą, konsultacijas ir </w:t>
            </w:r>
            <w:r w:rsidRPr="005917F1">
              <w:rPr>
                <w:rFonts w:eastAsia="Calibri"/>
                <w:bCs/>
                <w:sz w:val="20"/>
              </w:rPr>
              <w:t xml:space="preserve">naudą, kurią </w:t>
            </w:r>
            <w:r w:rsidR="006752B2">
              <w:rPr>
                <w:rFonts w:eastAsia="Calibri"/>
                <w:bCs/>
                <w:sz w:val="20"/>
              </w:rPr>
              <w:t xml:space="preserve">galės </w:t>
            </w:r>
            <w:r w:rsidRPr="005917F1">
              <w:rPr>
                <w:rFonts w:eastAsia="Calibri"/>
                <w:bCs/>
                <w:sz w:val="20"/>
              </w:rPr>
              <w:t>gau</w:t>
            </w:r>
            <w:r w:rsidR="006752B2">
              <w:rPr>
                <w:rFonts w:eastAsia="Calibri"/>
                <w:bCs/>
                <w:sz w:val="20"/>
              </w:rPr>
              <w:t>ti</w:t>
            </w:r>
            <w:r w:rsidRPr="005917F1">
              <w:rPr>
                <w:rFonts w:eastAsia="Calibri"/>
                <w:bCs/>
                <w:sz w:val="20"/>
              </w:rPr>
              <w:t xml:space="preserve"> vis</w:t>
            </w:r>
            <w:r w:rsidR="006752B2">
              <w:rPr>
                <w:rFonts w:eastAsia="Calibri"/>
                <w:bCs/>
                <w:sz w:val="20"/>
              </w:rPr>
              <w:t>i</w:t>
            </w:r>
            <w:r w:rsidRPr="005917F1">
              <w:rPr>
                <w:rFonts w:eastAsia="Calibri"/>
                <w:bCs/>
                <w:sz w:val="20"/>
              </w:rPr>
              <w:t xml:space="preserve"> FZ gyventojai, </w:t>
            </w:r>
            <w:r>
              <w:rPr>
                <w:rFonts w:eastAsia="Calibri"/>
                <w:bCs/>
                <w:sz w:val="20"/>
              </w:rPr>
              <w:t>atitinkamos</w:t>
            </w:r>
            <w:r w:rsidRPr="005917F1">
              <w:rPr>
                <w:rFonts w:eastAsia="Calibri"/>
                <w:bCs/>
                <w:sz w:val="20"/>
              </w:rPr>
              <w:t xml:space="preserve"> įmonės</w:t>
            </w:r>
            <w:r>
              <w:rPr>
                <w:rFonts w:eastAsia="Calibri"/>
                <w:bCs/>
                <w:sz w:val="20"/>
              </w:rPr>
              <w:t xml:space="preserve"> ir įstaigos</w:t>
            </w:r>
            <w:r w:rsidRPr="005917F1">
              <w:rPr>
                <w:rFonts w:eastAsia="Calibri"/>
                <w:bCs/>
                <w:sz w:val="20"/>
              </w:rPr>
              <w:t xml:space="preserve">, paslaugų teikėjai, </w:t>
            </w:r>
            <w:r>
              <w:rPr>
                <w:rFonts w:eastAsia="Calibri"/>
                <w:bCs/>
                <w:sz w:val="20"/>
              </w:rPr>
              <w:t>FZ</w:t>
            </w:r>
            <w:r w:rsidRPr="005917F1">
              <w:rPr>
                <w:rFonts w:eastAsia="Calibri"/>
                <w:bCs/>
                <w:sz w:val="20"/>
              </w:rPr>
              <w:t xml:space="preserve"> lankytojai</w:t>
            </w:r>
            <w:r w:rsidR="00D576BB">
              <w:rPr>
                <w:rFonts w:eastAsia="Calibri"/>
                <w:bCs/>
                <w:sz w:val="20"/>
              </w:rPr>
              <w:t xml:space="preserve"> ir kiti FZ įgyvendinamų veiksmų tikslinių grupių atstovai.</w:t>
            </w:r>
          </w:p>
        </w:tc>
      </w:tr>
    </w:tbl>
    <w:p w14:paraId="6AD46C1C" w14:textId="77777777" w:rsidR="00D634E8" w:rsidRDefault="00D634E8"/>
    <w:p w14:paraId="4BFFAF50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3. Partnerių dalyvavimas įgyvendinant Strategiją</w:t>
      </w:r>
    </w:p>
    <w:p w14:paraId="2AF55B71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4536"/>
      </w:tblGrid>
      <w:tr w:rsidR="00D634E8" w14:paraId="49695712" w14:textId="77777777" w:rsidTr="00BF76BE">
        <w:tc>
          <w:tcPr>
            <w:tcW w:w="9351" w:type="dxa"/>
            <w:shd w:val="pct5" w:color="auto" w:fill="auto"/>
          </w:tcPr>
          <w:p w14:paraId="22F76959" w14:textId="3EB4CB8E" w:rsidR="00D634E8" w:rsidRPr="00DA13A9" w:rsidRDefault="00F37FDA" w:rsidP="00BF76BE">
            <w:pPr>
              <w:jc w:val="center"/>
              <w:rPr>
                <w:b/>
                <w:szCs w:val="24"/>
              </w:rPr>
            </w:pPr>
            <w:r w:rsidRPr="00DA13A9">
              <w:rPr>
                <w:b/>
                <w:szCs w:val="24"/>
              </w:rPr>
              <w:t>Partnerių įtraukimo priemonės ir jų vykdymo</w:t>
            </w:r>
            <w:r w:rsidR="00BF76BE">
              <w:rPr>
                <w:b/>
                <w:szCs w:val="24"/>
              </w:rPr>
              <w:t xml:space="preserve"> </w:t>
            </w:r>
            <w:r w:rsidRPr="00DA13A9">
              <w:rPr>
                <w:b/>
                <w:szCs w:val="24"/>
              </w:rPr>
              <w:t>datos</w:t>
            </w:r>
          </w:p>
        </w:tc>
        <w:tc>
          <w:tcPr>
            <w:tcW w:w="4536" w:type="dxa"/>
            <w:shd w:val="pct5" w:color="auto" w:fill="auto"/>
          </w:tcPr>
          <w:p w14:paraId="08914DFB" w14:textId="77777777" w:rsidR="00D634E8" w:rsidRPr="00DA13A9" w:rsidRDefault="00F37FDA">
            <w:pPr>
              <w:jc w:val="center"/>
              <w:rPr>
                <w:b/>
                <w:szCs w:val="24"/>
              </w:rPr>
            </w:pPr>
            <w:r w:rsidRPr="00DA13A9">
              <w:rPr>
                <w:b/>
                <w:szCs w:val="24"/>
              </w:rPr>
              <w:t>Dalyvavę partneriai</w:t>
            </w:r>
          </w:p>
        </w:tc>
      </w:tr>
      <w:tr w:rsidR="00D634E8" w14:paraId="776EC831" w14:textId="77777777" w:rsidTr="00BF76BE">
        <w:trPr>
          <w:trHeight w:val="1419"/>
        </w:trPr>
        <w:tc>
          <w:tcPr>
            <w:tcW w:w="9351" w:type="dxa"/>
          </w:tcPr>
          <w:p w14:paraId="21AB8BD8" w14:textId="77777777" w:rsidR="00D634E8" w:rsidRDefault="0087448E" w:rsidP="007739AD">
            <w:pPr>
              <w:jc w:val="both"/>
              <w:rPr>
                <w:color w:val="000000" w:themeColor="text1"/>
                <w:szCs w:val="24"/>
              </w:rPr>
            </w:pPr>
            <w:r w:rsidRPr="00824444">
              <w:rPr>
                <w:szCs w:val="24"/>
              </w:rPr>
              <w:t>2024–2029 m</w:t>
            </w:r>
            <w:r>
              <w:rPr>
                <w:szCs w:val="24"/>
              </w:rPr>
              <w:t>.</w:t>
            </w:r>
            <w:r w:rsidRPr="00824444">
              <w:rPr>
                <w:szCs w:val="24"/>
              </w:rPr>
              <w:t xml:space="preserve"> Šiaulių regiono funkcinės zonos strategijos</w:t>
            </w:r>
            <w:r>
              <w:rPr>
                <w:szCs w:val="24"/>
              </w:rPr>
              <w:t>,</w:t>
            </w:r>
            <w:r w:rsidRPr="00824444">
              <w:rPr>
                <w:szCs w:val="24"/>
              </w:rPr>
              <w:t xml:space="preserve"> patvirtin</w:t>
            </w:r>
            <w:r>
              <w:rPr>
                <w:szCs w:val="24"/>
              </w:rPr>
              <w:t xml:space="preserve">tos 2024 m. rugpjūčio 22 d. – rugsėjo 12 d. </w:t>
            </w:r>
            <w:r w:rsidR="007739AD" w:rsidRPr="007739AD">
              <w:rPr>
                <w:szCs w:val="24"/>
              </w:rPr>
              <w:t xml:space="preserve">Akmenės, Joniškio, Kelmės, Pakruojo, Radviliškio ir Šiaulių rajonų </w:t>
            </w:r>
            <w:r w:rsidR="007739AD">
              <w:rPr>
                <w:szCs w:val="24"/>
              </w:rPr>
              <w:t xml:space="preserve">bei Šiaulių miesto </w:t>
            </w:r>
            <w:r w:rsidR="007739AD" w:rsidRPr="007739AD">
              <w:rPr>
                <w:szCs w:val="24"/>
              </w:rPr>
              <w:t>savivaldybių</w:t>
            </w:r>
            <w:r w:rsidR="007739AD">
              <w:rPr>
                <w:szCs w:val="24"/>
              </w:rPr>
              <w:t xml:space="preserve"> tarybose, </w:t>
            </w:r>
            <w:r w:rsidR="007739AD" w:rsidRPr="007739AD">
              <w:rPr>
                <w:szCs w:val="24"/>
              </w:rPr>
              <w:t>2024 m. rugpjūčio</w:t>
            </w:r>
            <w:r w:rsidR="007739AD">
              <w:rPr>
                <w:szCs w:val="24"/>
              </w:rPr>
              <w:t xml:space="preserve"> </w:t>
            </w:r>
            <w:r w:rsidR="007739AD" w:rsidRPr="007739AD">
              <w:rPr>
                <w:szCs w:val="24"/>
              </w:rPr>
              <w:t xml:space="preserve">– rugsėjo </w:t>
            </w:r>
            <w:r w:rsidR="007739AD">
              <w:rPr>
                <w:szCs w:val="24"/>
              </w:rPr>
              <w:t>mėn</w:t>
            </w:r>
            <w:r w:rsidR="007739AD" w:rsidRPr="007739AD">
              <w:rPr>
                <w:szCs w:val="24"/>
              </w:rPr>
              <w:t xml:space="preserve">. </w:t>
            </w:r>
            <w:r w:rsidR="007739AD">
              <w:rPr>
                <w:szCs w:val="24"/>
              </w:rPr>
              <w:t xml:space="preserve">paskelbimas </w:t>
            </w:r>
            <w:r w:rsidR="007739AD" w:rsidRPr="00490B14">
              <w:rPr>
                <w:color w:val="000000" w:themeColor="text1"/>
                <w:szCs w:val="24"/>
              </w:rPr>
              <w:t xml:space="preserve">savivaldybių interneto svetainėse ir </w:t>
            </w:r>
            <w:r w:rsidR="007739AD">
              <w:rPr>
                <w:color w:val="000000" w:themeColor="text1"/>
                <w:szCs w:val="24"/>
              </w:rPr>
              <w:t>Šiaulių</w:t>
            </w:r>
            <w:r w:rsidR="007739AD" w:rsidRPr="00490B14">
              <w:rPr>
                <w:color w:val="000000" w:themeColor="text1"/>
                <w:szCs w:val="24"/>
              </w:rPr>
              <w:t xml:space="preserve"> regiono plėtros tarybos interneto svetainėje sudarant visuomenei sąlygas susipažinti su</w:t>
            </w:r>
            <w:r w:rsidR="007739AD">
              <w:rPr>
                <w:color w:val="000000" w:themeColor="text1"/>
                <w:szCs w:val="24"/>
              </w:rPr>
              <w:t xml:space="preserve"> patvirtinta FZ strategija.</w:t>
            </w:r>
          </w:p>
          <w:p w14:paraId="7CBFAC98" w14:textId="152BEB88" w:rsidR="00DA13A9" w:rsidRPr="007D3432" w:rsidRDefault="00DA13A9" w:rsidP="007739AD">
            <w:pPr>
              <w:jc w:val="both"/>
              <w:rPr>
                <w:szCs w:val="24"/>
              </w:rPr>
            </w:pPr>
            <w:r w:rsidRPr="007D3432">
              <w:rPr>
                <w:szCs w:val="24"/>
              </w:rPr>
              <w:t xml:space="preserve">Nuoroda į </w:t>
            </w:r>
            <w:r w:rsidR="004804D9">
              <w:rPr>
                <w:szCs w:val="24"/>
              </w:rPr>
              <w:t xml:space="preserve">FZ strategiją ir merų pasirašytą Susitarimą </w:t>
            </w:r>
            <w:r w:rsidRPr="007D3432">
              <w:rPr>
                <w:szCs w:val="24"/>
              </w:rPr>
              <w:t xml:space="preserve">Šiaulių regiono plėtros tarybos </w:t>
            </w:r>
            <w:r w:rsidR="007D3432" w:rsidRPr="007D3432">
              <w:rPr>
                <w:szCs w:val="24"/>
              </w:rPr>
              <w:t>svetain</w:t>
            </w:r>
            <w:r w:rsidR="004804D9">
              <w:rPr>
                <w:szCs w:val="24"/>
              </w:rPr>
              <w:t>ėje</w:t>
            </w:r>
            <w:r w:rsidR="007D3432" w:rsidRPr="007D3432">
              <w:rPr>
                <w:szCs w:val="24"/>
              </w:rPr>
              <w:t xml:space="preserve">: </w:t>
            </w:r>
          </w:p>
          <w:p w14:paraId="693E32EA" w14:textId="2984824E" w:rsidR="007D3432" w:rsidRPr="007D3432" w:rsidRDefault="007D3432" w:rsidP="007739AD">
            <w:pPr>
              <w:jc w:val="both"/>
              <w:rPr>
                <w:color w:val="808080"/>
                <w:szCs w:val="24"/>
              </w:rPr>
            </w:pPr>
            <w:r w:rsidRPr="007D3432">
              <w:rPr>
                <w:szCs w:val="24"/>
              </w:rPr>
              <w:t>https://siauliuregionas.lt/regiono-pletra-2/teritorines-strategijos/</w:t>
            </w:r>
          </w:p>
        </w:tc>
        <w:tc>
          <w:tcPr>
            <w:tcW w:w="4536" w:type="dxa"/>
          </w:tcPr>
          <w:p w14:paraId="123431FF" w14:textId="0B236468" w:rsidR="00D634E8" w:rsidRDefault="007739AD" w:rsidP="00BF76BE">
            <w:pPr>
              <w:suppressAutoHyphens/>
              <w:rPr>
                <w:b/>
                <w:color w:val="808080"/>
                <w:szCs w:val="24"/>
                <w:u w:val="single"/>
              </w:rPr>
            </w:pPr>
            <w:r w:rsidRPr="007739AD">
              <w:rPr>
                <w:szCs w:val="24"/>
              </w:rPr>
              <w:t xml:space="preserve">Akmenės, Joniškio, Kelmės, Pakruojo, Radviliškio ir Šiaulių rajonų </w:t>
            </w:r>
            <w:r>
              <w:rPr>
                <w:szCs w:val="24"/>
              </w:rPr>
              <w:t xml:space="preserve">bei Šiaulių miesto </w:t>
            </w:r>
            <w:r w:rsidRPr="007739AD">
              <w:rPr>
                <w:szCs w:val="24"/>
              </w:rPr>
              <w:t>savivaldyb</w:t>
            </w:r>
            <w:r>
              <w:rPr>
                <w:szCs w:val="24"/>
              </w:rPr>
              <w:t xml:space="preserve">ės, kurios šių savivaldybių merų 2024 m. rugsėjo mėn. pasirašytame </w:t>
            </w:r>
            <w:r w:rsidR="00DA13A9">
              <w:rPr>
                <w:szCs w:val="24"/>
              </w:rPr>
              <w:t>„</w:t>
            </w:r>
            <w:r w:rsidRPr="007739AD">
              <w:rPr>
                <w:szCs w:val="24"/>
              </w:rPr>
              <w:t>S</w:t>
            </w:r>
            <w:r w:rsidR="00DA13A9">
              <w:rPr>
                <w:szCs w:val="24"/>
              </w:rPr>
              <w:t>usitarime</w:t>
            </w:r>
            <w:r w:rsidRPr="007739AD">
              <w:rPr>
                <w:szCs w:val="24"/>
              </w:rPr>
              <w:t xml:space="preserve"> </w:t>
            </w:r>
            <w:r w:rsidR="00DA13A9">
              <w:rPr>
                <w:szCs w:val="24"/>
              </w:rPr>
              <w:t>dėl</w:t>
            </w:r>
            <w:r w:rsidRPr="007739AD">
              <w:rPr>
                <w:szCs w:val="24"/>
              </w:rPr>
              <w:t xml:space="preserve"> 2024–2029 </w:t>
            </w:r>
            <w:r w:rsidR="00DA13A9">
              <w:rPr>
                <w:szCs w:val="24"/>
              </w:rPr>
              <w:t>m</w:t>
            </w:r>
            <w:r w:rsidRPr="007739AD">
              <w:rPr>
                <w:szCs w:val="24"/>
              </w:rPr>
              <w:t>. Š</w:t>
            </w:r>
            <w:r w:rsidR="00DA13A9">
              <w:rPr>
                <w:szCs w:val="24"/>
              </w:rPr>
              <w:t>iaulių</w:t>
            </w:r>
            <w:r w:rsidRPr="007739AD">
              <w:rPr>
                <w:szCs w:val="24"/>
              </w:rPr>
              <w:t xml:space="preserve"> </w:t>
            </w:r>
            <w:r w:rsidR="00DA13A9">
              <w:rPr>
                <w:szCs w:val="24"/>
              </w:rPr>
              <w:t>regiono</w:t>
            </w:r>
            <w:r w:rsidRPr="007739AD">
              <w:rPr>
                <w:szCs w:val="24"/>
              </w:rPr>
              <w:t xml:space="preserve"> </w:t>
            </w:r>
            <w:r w:rsidR="00DA13A9">
              <w:rPr>
                <w:szCs w:val="24"/>
              </w:rPr>
              <w:t>funkcinės zonos strategijos įgyvendinimo“</w:t>
            </w:r>
            <w:r w:rsidRPr="007739AD">
              <w:rPr>
                <w:szCs w:val="24"/>
              </w:rPr>
              <w:t xml:space="preserve"> </w:t>
            </w:r>
            <w:r w:rsidR="00DA13A9">
              <w:rPr>
                <w:szCs w:val="24"/>
              </w:rPr>
              <w:t>įvardintos Partneriais.</w:t>
            </w:r>
          </w:p>
        </w:tc>
      </w:tr>
      <w:tr w:rsidR="007739AD" w14:paraId="3538F003" w14:textId="77777777" w:rsidTr="00BF76BE">
        <w:trPr>
          <w:trHeight w:val="787"/>
        </w:trPr>
        <w:tc>
          <w:tcPr>
            <w:tcW w:w="9351" w:type="dxa"/>
          </w:tcPr>
          <w:p w14:paraId="33444241" w14:textId="0626505D" w:rsidR="007739AD" w:rsidRDefault="004C4408" w:rsidP="007739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Pagal </w:t>
            </w:r>
            <w:r w:rsidRPr="004C4408">
              <w:rPr>
                <w:szCs w:val="24"/>
              </w:rPr>
              <w:t>Akmenės, Joniškio, Kelmės, Pakruojo, Radviliškio ir Šiaulių rajonų bei Šiaulių miesto savivaldybės savivaldybių merų 2024 m. rugsėjo mėn. pasirašyt</w:t>
            </w:r>
            <w:r>
              <w:rPr>
                <w:szCs w:val="24"/>
              </w:rPr>
              <w:t>o</w:t>
            </w:r>
            <w:r w:rsidRPr="004C4408">
              <w:rPr>
                <w:szCs w:val="24"/>
              </w:rPr>
              <w:t xml:space="preserve"> „Susitarim</w:t>
            </w:r>
            <w:r>
              <w:rPr>
                <w:szCs w:val="24"/>
              </w:rPr>
              <w:t>o</w:t>
            </w:r>
            <w:r w:rsidRPr="004C4408">
              <w:rPr>
                <w:szCs w:val="24"/>
              </w:rPr>
              <w:t xml:space="preserve"> dėl 2024–2029 m. Šiaulių regiono funkcinės zonos strategijos įgyvendinimo“</w:t>
            </w:r>
            <w:r>
              <w:rPr>
                <w:szCs w:val="24"/>
              </w:rPr>
              <w:t xml:space="preserve"> </w:t>
            </w:r>
            <w:r w:rsidR="006B2550">
              <w:rPr>
                <w:szCs w:val="24"/>
              </w:rPr>
              <w:t>2 punktą „</w:t>
            </w:r>
            <w:r w:rsidR="006B2550" w:rsidRPr="006B2550">
              <w:rPr>
                <w:i/>
                <w:iCs/>
                <w:szCs w:val="24"/>
              </w:rPr>
              <w:t>Šiaulių regiono plėtros taryba įgaliojama vykdyti Strategijos įgyvendinimo stebėseną bei Strategijos ir Susitarimo pakeitimų koordinavimą</w:t>
            </w:r>
            <w:r w:rsidR="006B2550">
              <w:rPr>
                <w:szCs w:val="24"/>
              </w:rPr>
              <w:t xml:space="preserve">“. Todėl Šiaulių regiono plėtros tarybos administracija </w:t>
            </w:r>
            <w:r w:rsidR="006B2550" w:rsidRPr="006B2550">
              <w:rPr>
                <w:szCs w:val="24"/>
              </w:rPr>
              <w:t>2024 m. rugsėjo</w:t>
            </w:r>
            <w:r w:rsidR="006B2550">
              <w:rPr>
                <w:szCs w:val="24"/>
              </w:rPr>
              <w:t xml:space="preserve"> – gruodžio</w:t>
            </w:r>
            <w:r w:rsidR="006B2550" w:rsidRPr="006B2550">
              <w:rPr>
                <w:szCs w:val="24"/>
              </w:rPr>
              <w:t xml:space="preserve"> mėn.</w:t>
            </w:r>
            <w:r w:rsidR="006B2550">
              <w:rPr>
                <w:szCs w:val="24"/>
              </w:rPr>
              <w:t xml:space="preserve"> organizavo </w:t>
            </w:r>
            <w:r w:rsidR="007D3432">
              <w:rPr>
                <w:szCs w:val="24"/>
              </w:rPr>
              <w:t>Jungtinės veiklos sutarčių parengim</w:t>
            </w:r>
            <w:r w:rsidR="006B2550">
              <w:rPr>
                <w:szCs w:val="24"/>
              </w:rPr>
              <w:t>ą,</w:t>
            </w:r>
            <w:r w:rsidR="007D3432">
              <w:rPr>
                <w:szCs w:val="24"/>
              </w:rPr>
              <w:t xml:space="preserve"> </w:t>
            </w:r>
            <w:r w:rsidR="000A7569">
              <w:rPr>
                <w:szCs w:val="24"/>
              </w:rPr>
              <w:t>pritar</w:t>
            </w:r>
            <w:r w:rsidR="007D3432">
              <w:rPr>
                <w:szCs w:val="24"/>
              </w:rPr>
              <w:t>im</w:t>
            </w:r>
            <w:r w:rsidR="006B2550">
              <w:rPr>
                <w:szCs w:val="24"/>
              </w:rPr>
              <w:t>ą ir pasirašymą</w:t>
            </w:r>
            <w:r w:rsidR="007D3432">
              <w:rPr>
                <w:szCs w:val="24"/>
              </w:rPr>
              <w:t>:</w:t>
            </w:r>
          </w:p>
          <w:p w14:paraId="57721287" w14:textId="4398F7A1" w:rsidR="00521F02" w:rsidRDefault="004C4408" w:rsidP="00360D5A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 w:rsidRPr="006B2550">
              <w:rPr>
                <w:szCs w:val="24"/>
              </w:rPr>
              <w:t>Spalio 16 – 17 d. vyko pirmieji keturių jungtinės veiklos sutarčių rengimo keturių darbo grupių</w:t>
            </w:r>
            <w:r w:rsidR="00360D5A">
              <w:rPr>
                <w:szCs w:val="24"/>
              </w:rPr>
              <w:t>, sudarytų iš Partnerių atstovų,</w:t>
            </w:r>
            <w:r w:rsidRPr="006B2550">
              <w:rPr>
                <w:szCs w:val="24"/>
              </w:rPr>
              <w:t xml:space="preserve"> posėdžiai</w:t>
            </w:r>
            <w:r w:rsidR="006B2550" w:rsidRPr="006B2550">
              <w:rPr>
                <w:szCs w:val="24"/>
              </w:rPr>
              <w:t xml:space="preserve"> (žr. 1 priedą)</w:t>
            </w:r>
            <w:r w:rsidRPr="006B2550">
              <w:rPr>
                <w:szCs w:val="24"/>
              </w:rPr>
              <w:t xml:space="preserve">. Juose </w:t>
            </w:r>
            <w:r w:rsidR="006B2550" w:rsidRPr="006B2550">
              <w:rPr>
                <w:szCs w:val="24"/>
              </w:rPr>
              <w:t>pristaty</w:t>
            </w:r>
            <w:r w:rsidRPr="006B2550">
              <w:rPr>
                <w:szCs w:val="24"/>
              </w:rPr>
              <w:t>t</w:t>
            </w:r>
            <w:r w:rsidR="006B2550" w:rsidRPr="006B2550">
              <w:rPr>
                <w:szCs w:val="24"/>
              </w:rPr>
              <w:t xml:space="preserve">i Šiaulių regiono plėtros tarybos administracijos parengti pirminiai jungtinės veiklos sutarčių projektai, aptartos </w:t>
            </w:r>
            <w:r w:rsidR="006B2550">
              <w:rPr>
                <w:szCs w:val="24"/>
              </w:rPr>
              <w:t>galimos</w:t>
            </w:r>
            <w:r w:rsidR="006B2550" w:rsidRPr="006B2550">
              <w:rPr>
                <w:szCs w:val="24"/>
              </w:rPr>
              <w:t xml:space="preserve"> konkreči</w:t>
            </w:r>
            <w:r w:rsidR="006B2550">
              <w:rPr>
                <w:szCs w:val="24"/>
              </w:rPr>
              <w:t>o</w:t>
            </w:r>
            <w:r w:rsidR="006B2550" w:rsidRPr="006B2550">
              <w:rPr>
                <w:szCs w:val="24"/>
              </w:rPr>
              <w:t>s neinvesticin</w:t>
            </w:r>
            <w:r w:rsidR="006B2550">
              <w:rPr>
                <w:szCs w:val="24"/>
              </w:rPr>
              <w:t>ė</w:t>
            </w:r>
            <w:r w:rsidR="006B2550" w:rsidRPr="006B2550">
              <w:rPr>
                <w:szCs w:val="24"/>
              </w:rPr>
              <w:t>s priemon</w:t>
            </w:r>
            <w:r w:rsidR="006B2550">
              <w:rPr>
                <w:szCs w:val="24"/>
              </w:rPr>
              <w:t>ė</w:t>
            </w:r>
            <w:r w:rsidR="006B2550" w:rsidRPr="006B2550">
              <w:rPr>
                <w:szCs w:val="24"/>
              </w:rPr>
              <w:t>s</w:t>
            </w:r>
            <w:r w:rsidR="006B2550">
              <w:rPr>
                <w:szCs w:val="24"/>
              </w:rPr>
              <w:t>, kurias</w:t>
            </w:r>
            <w:r w:rsidR="006B2550" w:rsidRPr="006B2550">
              <w:rPr>
                <w:szCs w:val="24"/>
              </w:rPr>
              <w:t xml:space="preserve"> koordinuo</w:t>
            </w:r>
            <w:r w:rsidR="006B2550">
              <w:rPr>
                <w:szCs w:val="24"/>
              </w:rPr>
              <w:t>tų</w:t>
            </w:r>
            <w:r w:rsidR="006B2550" w:rsidRPr="006B2550">
              <w:rPr>
                <w:szCs w:val="24"/>
              </w:rPr>
              <w:t xml:space="preserve"> Partnerių įstaigos</w:t>
            </w:r>
            <w:r w:rsidR="006B2550">
              <w:rPr>
                <w:szCs w:val="24"/>
              </w:rPr>
              <w:t>.</w:t>
            </w:r>
          </w:p>
          <w:p w14:paraId="4E54E564" w14:textId="15496D95" w:rsidR="006B2550" w:rsidRPr="006B2550" w:rsidRDefault="00360D5A" w:rsidP="00360D5A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Keturių darbo grupių atstovai teikė el. laiškais arba </w:t>
            </w:r>
            <w:proofErr w:type="spellStart"/>
            <w:r>
              <w:rPr>
                <w:szCs w:val="24"/>
              </w:rPr>
              <w:t>google</w:t>
            </w:r>
            <w:proofErr w:type="spellEnd"/>
            <w:r>
              <w:rPr>
                <w:szCs w:val="24"/>
              </w:rPr>
              <w:t xml:space="preserve"> diske konkrečius pasiūlymus dėl </w:t>
            </w:r>
            <w:r w:rsidRPr="00360D5A">
              <w:rPr>
                <w:szCs w:val="24"/>
              </w:rPr>
              <w:t>jungtinės veiklos sutarčių projekt</w:t>
            </w:r>
            <w:r>
              <w:rPr>
                <w:szCs w:val="24"/>
              </w:rPr>
              <w:t>ų tobulinimo, o daugiausia siūlė galimas</w:t>
            </w:r>
            <w:r w:rsidRPr="006B2550">
              <w:rPr>
                <w:szCs w:val="24"/>
              </w:rPr>
              <w:t xml:space="preserve"> konkreči</w:t>
            </w:r>
            <w:r>
              <w:rPr>
                <w:szCs w:val="24"/>
              </w:rPr>
              <w:t>a</w:t>
            </w:r>
            <w:r w:rsidRPr="006B2550">
              <w:rPr>
                <w:szCs w:val="24"/>
              </w:rPr>
              <w:t>s neinvesticin</w:t>
            </w:r>
            <w:r>
              <w:rPr>
                <w:szCs w:val="24"/>
              </w:rPr>
              <w:t>ė</w:t>
            </w:r>
            <w:r w:rsidRPr="006B2550">
              <w:rPr>
                <w:szCs w:val="24"/>
              </w:rPr>
              <w:t>s priemon</w:t>
            </w:r>
            <w:r>
              <w:rPr>
                <w:szCs w:val="24"/>
              </w:rPr>
              <w:t xml:space="preserve">es bei jas koordinuojančias įstaigas. </w:t>
            </w:r>
            <w:r w:rsidR="006B2550">
              <w:rPr>
                <w:szCs w:val="24"/>
              </w:rPr>
              <w:t xml:space="preserve"> </w:t>
            </w:r>
          </w:p>
          <w:p w14:paraId="48CD78E1" w14:textId="77777777" w:rsidR="00360D5A" w:rsidRDefault="00360D5A" w:rsidP="007D3432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>
              <w:rPr>
                <w:szCs w:val="24"/>
              </w:rPr>
              <w:t>Spalio 24 d. ir 28 d. vyko antr</w:t>
            </w:r>
            <w:r w:rsidRPr="006B2550">
              <w:rPr>
                <w:szCs w:val="24"/>
              </w:rPr>
              <w:t xml:space="preserve">ieji keturių jungtinės veiklos sutarčių rengimo keturių darbo grupių posėdžiai (žr. 1 priedą). </w:t>
            </w:r>
            <w:r>
              <w:rPr>
                <w:szCs w:val="24"/>
              </w:rPr>
              <w:t xml:space="preserve">Juose buvo išnagrinėti Partnerių pateikti pasiūlymai ir jų įgyvendinimo galimybės, suformuluoti jungtinių veiklos sutarčių tekstų pakeitimai. </w:t>
            </w:r>
          </w:p>
          <w:p w14:paraId="39C2DCE7" w14:textId="77777777" w:rsidR="007D3432" w:rsidRDefault="00360D5A" w:rsidP="007D3432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2024 m. lapkričio mėn. vyko </w:t>
            </w:r>
            <w:r w:rsidR="00803C66" w:rsidRPr="00803C66">
              <w:rPr>
                <w:szCs w:val="24"/>
              </w:rPr>
              <w:t>jungtinių veiklos sutarčių</w:t>
            </w:r>
            <w:r w:rsidR="004C4408">
              <w:rPr>
                <w:szCs w:val="24"/>
              </w:rPr>
              <w:t xml:space="preserve"> </w:t>
            </w:r>
            <w:r w:rsidR="00803C66">
              <w:rPr>
                <w:szCs w:val="24"/>
              </w:rPr>
              <w:t xml:space="preserve">derinimai regiono savivaldybėse ir kitose Partnerių organizacijose. Savivaldybių teisės specialistai atliko </w:t>
            </w:r>
            <w:r w:rsidR="00803C66" w:rsidRPr="00803C66">
              <w:rPr>
                <w:szCs w:val="24"/>
              </w:rPr>
              <w:t>jungtinių veiklos sutarčių</w:t>
            </w:r>
            <w:r w:rsidR="00803C66">
              <w:rPr>
                <w:szCs w:val="24"/>
              </w:rPr>
              <w:t xml:space="preserve"> reikiamus pataisymus. </w:t>
            </w:r>
          </w:p>
          <w:p w14:paraId="4455846D" w14:textId="0127CC07" w:rsidR="006816BD" w:rsidRDefault="00803C66" w:rsidP="00554722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 w:rsidRPr="006816BD">
              <w:rPr>
                <w:szCs w:val="24"/>
              </w:rPr>
              <w:t>2024 m. lapkričio 28 – gruodžio 19 d. Akmenės, Joniškio, Kelmės, Pakruojo, Radviliškio ir Šiaulių rajonų bei Šiaulių miesto savivaldybės tarybos pritarė keturioms jungtinėms veiklos sutartims ir įgaliojo savivaldybių merus pasirašyti atitinkamas jungtinės veiklos sutartis.</w:t>
            </w:r>
          </w:p>
          <w:p w14:paraId="20D5C386" w14:textId="210ACEEA" w:rsidR="00803C66" w:rsidRDefault="00803C66" w:rsidP="00554722">
            <w:pPr>
              <w:pStyle w:val="Sraopastraipa"/>
              <w:numPr>
                <w:ilvl w:val="0"/>
                <w:numId w:val="1"/>
              </w:numPr>
              <w:ind w:left="314" w:hanging="314"/>
              <w:jc w:val="both"/>
              <w:rPr>
                <w:szCs w:val="24"/>
              </w:rPr>
            </w:pPr>
            <w:r w:rsidRPr="006816BD">
              <w:rPr>
                <w:szCs w:val="24"/>
              </w:rPr>
              <w:lastRenderedPageBreak/>
              <w:t>2024 m. gruodžio 2</w:t>
            </w:r>
            <w:r w:rsidR="005E57AC">
              <w:rPr>
                <w:szCs w:val="24"/>
              </w:rPr>
              <w:t>3</w:t>
            </w:r>
            <w:r w:rsidRPr="006816BD">
              <w:rPr>
                <w:szCs w:val="24"/>
              </w:rPr>
              <w:t>–31 d. regiono visų 7 savivaldybių merai pasirašė atitinkamas jungtinės veiklos sutartis</w:t>
            </w:r>
            <w:r w:rsidR="006816BD">
              <w:rPr>
                <w:szCs w:val="24"/>
              </w:rPr>
              <w:t>:</w:t>
            </w:r>
          </w:p>
          <w:p w14:paraId="33FE9133" w14:textId="5DDBB46D" w:rsidR="006816BD" w:rsidRDefault="006816BD" w:rsidP="00913B68">
            <w:pPr>
              <w:pStyle w:val="Sraopastraipa"/>
              <w:numPr>
                <w:ilvl w:val="1"/>
                <w:numId w:val="1"/>
              </w:numPr>
              <w:tabs>
                <w:tab w:val="left" w:pos="455"/>
              </w:tabs>
              <w:ind w:left="455" w:hanging="455"/>
              <w:jc w:val="both"/>
              <w:rPr>
                <w:szCs w:val="24"/>
              </w:rPr>
            </w:pPr>
            <w:r w:rsidRPr="006816BD">
              <w:rPr>
                <w:szCs w:val="24"/>
              </w:rPr>
              <w:t xml:space="preserve">jungtinės veiklos sutartis </w:t>
            </w:r>
            <w:r w:rsidR="00913B68">
              <w:rPr>
                <w:szCs w:val="24"/>
              </w:rPr>
              <w:t>„D</w:t>
            </w:r>
            <w:r w:rsidRPr="006816BD">
              <w:rPr>
                <w:szCs w:val="24"/>
              </w:rPr>
              <w:t xml:space="preserve">ėl </w:t>
            </w:r>
            <w:r w:rsidR="00913B68">
              <w:rPr>
                <w:szCs w:val="24"/>
              </w:rPr>
              <w:t>Š</w:t>
            </w:r>
            <w:r w:rsidRPr="006816BD">
              <w:rPr>
                <w:szCs w:val="24"/>
              </w:rPr>
              <w:t>iaulių regiono gamtos ir kultūros objektų pritaikymo lankymui, informacijos sklaidos gerinimo</w:t>
            </w:r>
            <w:r w:rsidR="00913B68">
              <w:rPr>
                <w:szCs w:val="24"/>
              </w:rPr>
              <w:t xml:space="preserve">“, pasirašė visų </w:t>
            </w:r>
            <w:r w:rsidR="00913B68" w:rsidRPr="006816BD">
              <w:rPr>
                <w:szCs w:val="24"/>
              </w:rPr>
              <w:t>7 savivaldybių merai</w:t>
            </w:r>
            <w:r w:rsidR="00913B68">
              <w:rPr>
                <w:szCs w:val="24"/>
              </w:rPr>
              <w:t>;</w:t>
            </w:r>
          </w:p>
          <w:p w14:paraId="7B2D0052" w14:textId="0352021F" w:rsidR="00913B68" w:rsidRDefault="00913B68" w:rsidP="00913B68">
            <w:pPr>
              <w:pStyle w:val="Sraopastraipa"/>
              <w:numPr>
                <w:ilvl w:val="1"/>
                <w:numId w:val="1"/>
              </w:numPr>
              <w:tabs>
                <w:tab w:val="left" w:pos="455"/>
              </w:tabs>
              <w:ind w:left="455" w:hanging="455"/>
              <w:jc w:val="both"/>
              <w:rPr>
                <w:szCs w:val="24"/>
              </w:rPr>
            </w:pPr>
            <w:r w:rsidRPr="00913B68">
              <w:rPr>
                <w:szCs w:val="24"/>
              </w:rPr>
              <w:t>jungtinės veiklos sutartis „Dėl Šiaulių regiono</w:t>
            </w:r>
            <w:r>
              <w:rPr>
                <w:szCs w:val="24"/>
              </w:rPr>
              <w:t xml:space="preserve"> </w:t>
            </w:r>
            <w:r w:rsidR="00CC3A7E" w:rsidRPr="00CC3A7E">
              <w:rPr>
                <w:szCs w:val="24"/>
              </w:rPr>
              <w:t>investicinio patrauklumo padidinimo ir verslui palankios aplinkos pagerinimo</w:t>
            </w:r>
            <w:r w:rsidR="00CC3A7E">
              <w:rPr>
                <w:szCs w:val="24"/>
              </w:rPr>
              <w:t xml:space="preserve">“, pasirašė </w:t>
            </w:r>
            <w:r w:rsidR="00CC3A7E" w:rsidRPr="00CC3A7E">
              <w:rPr>
                <w:szCs w:val="24"/>
              </w:rPr>
              <w:t>Akmenės, Joniškio, Kelmės, Pakruojo, Radviliškio ir Šiaulių rajonų</w:t>
            </w:r>
            <w:r w:rsidR="00CC3A7E">
              <w:rPr>
                <w:szCs w:val="24"/>
              </w:rPr>
              <w:t xml:space="preserve"> </w:t>
            </w:r>
            <w:r w:rsidR="00CC3A7E" w:rsidRPr="00CC3A7E">
              <w:rPr>
                <w:szCs w:val="24"/>
              </w:rPr>
              <w:t>savivaldybių merai</w:t>
            </w:r>
            <w:r w:rsidR="00CC3A7E">
              <w:rPr>
                <w:szCs w:val="24"/>
              </w:rPr>
              <w:t xml:space="preserve">; </w:t>
            </w:r>
          </w:p>
          <w:p w14:paraId="33108D77" w14:textId="27F8D496" w:rsidR="00CC3A7E" w:rsidRPr="00CC3A7E" w:rsidRDefault="00CC3A7E" w:rsidP="00CC3A7E">
            <w:pPr>
              <w:pStyle w:val="Sraopastraipa"/>
              <w:numPr>
                <w:ilvl w:val="1"/>
                <w:numId w:val="1"/>
              </w:numPr>
              <w:ind w:left="455" w:hanging="455"/>
              <w:jc w:val="both"/>
              <w:rPr>
                <w:szCs w:val="24"/>
              </w:rPr>
            </w:pPr>
            <w:r w:rsidRPr="00CC3A7E">
              <w:rPr>
                <w:szCs w:val="24"/>
              </w:rPr>
              <w:t>jungtinės veiklos sutartis „Dėl neformaliojo švietimo</w:t>
            </w:r>
            <w:r>
              <w:rPr>
                <w:szCs w:val="24"/>
              </w:rPr>
              <w:t xml:space="preserve"> K</w:t>
            </w:r>
            <w:r w:rsidRPr="00CC3A7E">
              <w:rPr>
                <w:szCs w:val="24"/>
              </w:rPr>
              <w:t xml:space="preserve">elmės r., </w:t>
            </w:r>
            <w:r>
              <w:rPr>
                <w:szCs w:val="24"/>
              </w:rPr>
              <w:t>Š</w:t>
            </w:r>
            <w:r w:rsidRPr="00CC3A7E">
              <w:rPr>
                <w:szCs w:val="24"/>
              </w:rPr>
              <w:t xml:space="preserve">iaulių r. ir </w:t>
            </w:r>
            <w:r>
              <w:rPr>
                <w:szCs w:val="24"/>
              </w:rPr>
              <w:t>Š</w:t>
            </w:r>
            <w:r w:rsidRPr="00CC3A7E">
              <w:rPr>
                <w:szCs w:val="24"/>
              </w:rPr>
              <w:t xml:space="preserve">iaulių m. savivaldybių gyventojams“, pasirašė Kelmės ir Šiaulių rajonų </w:t>
            </w:r>
            <w:r w:rsidR="005E57AC">
              <w:rPr>
                <w:szCs w:val="24"/>
              </w:rPr>
              <w:t xml:space="preserve">bei Šiaulių miesto </w:t>
            </w:r>
            <w:r w:rsidRPr="00CC3A7E">
              <w:rPr>
                <w:szCs w:val="24"/>
              </w:rPr>
              <w:t>savivaldyb</w:t>
            </w:r>
            <w:r w:rsidR="005E57AC">
              <w:rPr>
                <w:szCs w:val="24"/>
              </w:rPr>
              <w:t>ės</w:t>
            </w:r>
            <w:r w:rsidRPr="00CC3A7E">
              <w:rPr>
                <w:szCs w:val="24"/>
              </w:rPr>
              <w:t xml:space="preserve"> merai;</w:t>
            </w:r>
          </w:p>
          <w:p w14:paraId="30B284AC" w14:textId="3B3D2971" w:rsidR="00803C66" w:rsidRPr="005E57AC" w:rsidRDefault="005E57AC" w:rsidP="005E57AC">
            <w:pPr>
              <w:pStyle w:val="Sraopastraipa"/>
              <w:numPr>
                <w:ilvl w:val="1"/>
                <w:numId w:val="1"/>
              </w:numPr>
              <w:ind w:left="455" w:hanging="455"/>
              <w:jc w:val="both"/>
              <w:rPr>
                <w:szCs w:val="24"/>
              </w:rPr>
            </w:pPr>
            <w:r w:rsidRPr="005E57AC">
              <w:rPr>
                <w:szCs w:val="24"/>
              </w:rPr>
              <w:t xml:space="preserve">jungtinės veiklos sutartis „Dėl viešojo keleivinio transporto sistemos efektyvumo padidinimo </w:t>
            </w:r>
            <w:r>
              <w:rPr>
                <w:szCs w:val="24"/>
              </w:rPr>
              <w:t>R</w:t>
            </w:r>
            <w:r w:rsidRPr="005E57AC">
              <w:rPr>
                <w:szCs w:val="24"/>
              </w:rPr>
              <w:t xml:space="preserve">adviliškio r. sav., </w:t>
            </w:r>
            <w:r>
              <w:rPr>
                <w:szCs w:val="24"/>
              </w:rPr>
              <w:t>Š</w:t>
            </w:r>
            <w:r w:rsidRPr="005E57AC">
              <w:rPr>
                <w:szCs w:val="24"/>
              </w:rPr>
              <w:t xml:space="preserve">iaulių r. sav. ir </w:t>
            </w:r>
            <w:r>
              <w:rPr>
                <w:szCs w:val="24"/>
              </w:rPr>
              <w:t>Š</w:t>
            </w:r>
            <w:r w:rsidRPr="005E57AC">
              <w:rPr>
                <w:szCs w:val="24"/>
              </w:rPr>
              <w:t xml:space="preserve">iaulių m. sav. gyventojams“, pasirašė </w:t>
            </w:r>
            <w:r>
              <w:rPr>
                <w:szCs w:val="24"/>
              </w:rPr>
              <w:t>Radviliškio</w:t>
            </w:r>
            <w:r w:rsidRPr="005E57AC">
              <w:rPr>
                <w:szCs w:val="24"/>
              </w:rPr>
              <w:t xml:space="preserve"> ir Šiaulių rajonų bei Šiaulių miesto savivaldybės merai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4F400CBC" w14:textId="77777777" w:rsidR="007739AD" w:rsidRDefault="005E57AC" w:rsidP="00BF76BE">
            <w:pPr>
              <w:suppressAutoHyphens/>
              <w:rPr>
                <w:szCs w:val="24"/>
              </w:rPr>
            </w:pPr>
            <w:r w:rsidRPr="007739AD">
              <w:rPr>
                <w:szCs w:val="24"/>
              </w:rPr>
              <w:lastRenderedPageBreak/>
              <w:t xml:space="preserve">Akmenės, Joniškio, Kelmės, Pakruojo, Radviliškio ir Šiaulių rajonų </w:t>
            </w:r>
            <w:r>
              <w:rPr>
                <w:szCs w:val="24"/>
              </w:rPr>
              <w:t xml:space="preserve">bei Šiaulių miesto </w:t>
            </w:r>
            <w:r w:rsidRPr="007739AD">
              <w:rPr>
                <w:szCs w:val="24"/>
              </w:rPr>
              <w:t>savivaldyb</w:t>
            </w:r>
            <w:r>
              <w:rPr>
                <w:szCs w:val="24"/>
              </w:rPr>
              <w:t xml:space="preserve">ės, kurios šių savivaldybių merų 2024 m. gruodžio 23-31 d. pasirašytose </w:t>
            </w:r>
            <w:r w:rsidRPr="006816BD">
              <w:rPr>
                <w:szCs w:val="24"/>
              </w:rPr>
              <w:t>jungtinės veiklos sutart</w:t>
            </w:r>
            <w:r>
              <w:rPr>
                <w:szCs w:val="24"/>
              </w:rPr>
              <w:t>yse</w:t>
            </w:r>
            <w:r w:rsidRPr="007739AD">
              <w:rPr>
                <w:szCs w:val="24"/>
              </w:rPr>
              <w:t xml:space="preserve"> </w:t>
            </w:r>
            <w:r>
              <w:rPr>
                <w:szCs w:val="24"/>
              </w:rPr>
              <w:t>įvardintos Partneriais.</w:t>
            </w:r>
          </w:p>
          <w:p w14:paraId="47632D60" w14:textId="176DD497" w:rsidR="00C6427B" w:rsidRPr="00C6427B" w:rsidRDefault="00C6427B" w:rsidP="00BF76BE">
            <w:pPr>
              <w:tabs>
                <w:tab w:val="left" w:pos="1276"/>
              </w:tabs>
              <w:suppressAutoHyphens/>
              <w:ind w:left="17" w:hanging="17"/>
              <w:contextualSpacing/>
              <w:rPr>
                <w:kern w:val="2"/>
                <w:szCs w:val="22"/>
                <w:lang w:eastAsia="lt-LT"/>
              </w:rPr>
            </w:pPr>
            <w:r w:rsidRPr="00C6427B">
              <w:rPr>
                <w:rFonts w:eastAsia="Calibri"/>
                <w:iCs/>
                <w:szCs w:val="24"/>
              </w:rPr>
              <w:t>Partneriai,</w:t>
            </w:r>
            <w:r>
              <w:rPr>
                <w:rFonts w:eastAsia="Calibri"/>
                <w:iCs/>
                <w:szCs w:val="24"/>
              </w:rPr>
              <w:t xml:space="preserve"> dalyvavę </w:t>
            </w:r>
            <w:r w:rsidRPr="006B2550">
              <w:rPr>
                <w:szCs w:val="24"/>
              </w:rPr>
              <w:t>keturių jungtinės veiklos sutarčių</w:t>
            </w:r>
            <w:r>
              <w:rPr>
                <w:szCs w:val="24"/>
              </w:rPr>
              <w:t xml:space="preserve"> rengime ir derinime bei įsipareigoję koordinuoti </w:t>
            </w:r>
            <w:r w:rsidRPr="006B2550">
              <w:rPr>
                <w:szCs w:val="24"/>
              </w:rPr>
              <w:t>konkreči</w:t>
            </w:r>
            <w:r>
              <w:rPr>
                <w:szCs w:val="24"/>
              </w:rPr>
              <w:t>a</w:t>
            </w:r>
            <w:r w:rsidRPr="006B2550">
              <w:rPr>
                <w:szCs w:val="24"/>
              </w:rPr>
              <w:t>s neinvesticin</w:t>
            </w:r>
            <w:r>
              <w:rPr>
                <w:szCs w:val="24"/>
              </w:rPr>
              <w:t>e</w:t>
            </w:r>
            <w:r w:rsidRPr="006B2550">
              <w:rPr>
                <w:szCs w:val="24"/>
              </w:rPr>
              <w:t>s priemon</w:t>
            </w:r>
            <w:r>
              <w:rPr>
                <w:szCs w:val="24"/>
              </w:rPr>
              <w:t>e</w:t>
            </w:r>
            <w:r w:rsidRPr="006B2550">
              <w:rPr>
                <w:szCs w:val="24"/>
              </w:rPr>
              <w:t>s</w:t>
            </w:r>
            <w:r>
              <w:rPr>
                <w:szCs w:val="24"/>
              </w:rPr>
              <w:t xml:space="preserve">: regiono 6 savivaldybių turizmo ir verslo informacijos centrai bei </w:t>
            </w:r>
            <w:r w:rsidRPr="00C6427B">
              <w:rPr>
                <w:iCs/>
                <w:color w:val="000000"/>
                <w:szCs w:val="24"/>
                <w:lang w:eastAsia="lt-LT"/>
              </w:rPr>
              <w:t>Akmenės krašto muziejus</w:t>
            </w:r>
            <w:r>
              <w:rPr>
                <w:szCs w:val="24"/>
              </w:rPr>
              <w:t xml:space="preserve">, </w:t>
            </w:r>
            <w:r w:rsidRPr="00C6427B">
              <w:rPr>
                <w:szCs w:val="24"/>
              </w:rPr>
              <w:t>Šiaulių rajono savivaldybės etninės kultūros ir tradicinių amatų centras</w:t>
            </w:r>
            <w:r>
              <w:rPr>
                <w:szCs w:val="24"/>
              </w:rPr>
              <w:t xml:space="preserve">, </w:t>
            </w:r>
            <w:r w:rsidRPr="00C6427B">
              <w:rPr>
                <w:kern w:val="2"/>
                <w:szCs w:val="22"/>
                <w:lang w:eastAsia="lt-LT"/>
              </w:rPr>
              <w:t>Šiaulių švietimo kompetencijų centras</w:t>
            </w:r>
            <w:r w:rsidR="00BF76BE">
              <w:rPr>
                <w:kern w:val="2"/>
                <w:szCs w:val="22"/>
                <w:lang w:eastAsia="lt-LT"/>
              </w:rPr>
              <w:t xml:space="preserve">. </w:t>
            </w:r>
          </w:p>
          <w:p w14:paraId="4B988526" w14:textId="42D0956A" w:rsidR="005E57AC" w:rsidRPr="00C6427B" w:rsidRDefault="00C6427B" w:rsidP="00BF76BE">
            <w:pPr>
              <w:suppressAutoHyphens/>
              <w:rPr>
                <w:rFonts w:eastAsia="Calibri"/>
                <w:iCs/>
                <w:color w:val="808080"/>
                <w:szCs w:val="24"/>
              </w:rPr>
            </w:pPr>
            <w:r w:rsidRPr="00C6427B">
              <w:rPr>
                <w:rFonts w:eastAsia="Calibri"/>
                <w:iCs/>
                <w:szCs w:val="24"/>
              </w:rPr>
              <w:t xml:space="preserve"> </w:t>
            </w:r>
          </w:p>
        </w:tc>
      </w:tr>
      <w:tr w:rsidR="008B3367" w14:paraId="6349A536" w14:textId="77777777" w:rsidTr="008B3367">
        <w:trPr>
          <w:trHeight w:val="286"/>
        </w:trPr>
        <w:tc>
          <w:tcPr>
            <w:tcW w:w="9351" w:type="dxa"/>
          </w:tcPr>
          <w:p w14:paraId="700307B8" w14:textId="125CD030" w:rsidR="008B3367" w:rsidRPr="008B3367" w:rsidRDefault="008B3367" w:rsidP="008B3367">
            <w:pPr>
              <w:jc w:val="both"/>
              <w:rPr>
                <w:bCs/>
                <w:szCs w:val="24"/>
              </w:rPr>
            </w:pPr>
            <w:r w:rsidRPr="008B3367">
              <w:rPr>
                <w:bCs/>
                <w:szCs w:val="24"/>
              </w:rPr>
              <w:t>FZ strategijos veiksmų Projektų įgyvendinimo planų rengim</w:t>
            </w:r>
            <w:r>
              <w:rPr>
                <w:bCs/>
                <w:szCs w:val="24"/>
              </w:rPr>
              <w:t>as, 2024 m. rugsėjis – gruodis.</w:t>
            </w:r>
          </w:p>
        </w:tc>
        <w:tc>
          <w:tcPr>
            <w:tcW w:w="4536" w:type="dxa"/>
            <w:vMerge w:val="restart"/>
          </w:tcPr>
          <w:p w14:paraId="3F4C0ADD" w14:textId="02B69EBD" w:rsidR="008B3367" w:rsidRDefault="008B3367" w:rsidP="008B3367">
            <w:pPr>
              <w:rPr>
                <w:b/>
                <w:szCs w:val="24"/>
                <w:u w:val="single"/>
              </w:rPr>
            </w:pPr>
            <w:r w:rsidRPr="007739AD">
              <w:rPr>
                <w:szCs w:val="24"/>
              </w:rPr>
              <w:t xml:space="preserve">Akmenės, Joniškio, Kelmės, Pakruojo, Radviliškio ir Šiaulių rajonų </w:t>
            </w:r>
            <w:r>
              <w:rPr>
                <w:szCs w:val="24"/>
              </w:rPr>
              <w:t xml:space="preserve">bei Šiaulių miesto </w:t>
            </w:r>
            <w:r w:rsidRPr="007739AD">
              <w:rPr>
                <w:szCs w:val="24"/>
              </w:rPr>
              <w:t>savivaldyb</w:t>
            </w:r>
            <w:r>
              <w:rPr>
                <w:szCs w:val="24"/>
              </w:rPr>
              <w:t>ės.</w:t>
            </w:r>
          </w:p>
        </w:tc>
      </w:tr>
      <w:tr w:rsidR="008B3367" w14:paraId="6E1211C2" w14:textId="77777777" w:rsidTr="00BF76BE">
        <w:trPr>
          <w:trHeight w:val="544"/>
        </w:trPr>
        <w:tc>
          <w:tcPr>
            <w:tcW w:w="9351" w:type="dxa"/>
          </w:tcPr>
          <w:p w14:paraId="5C06D780" w14:textId="2C473FE4" w:rsidR="008B3367" w:rsidRDefault="008B3367" w:rsidP="00684CBD">
            <w:pPr>
              <w:jc w:val="both"/>
              <w:rPr>
                <w:bCs/>
                <w:szCs w:val="24"/>
              </w:rPr>
            </w:pPr>
            <w:r w:rsidRPr="008B3367">
              <w:rPr>
                <w:bCs/>
                <w:szCs w:val="24"/>
              </w:rPr>
              <w:t>Informacijos apie FZ strategijos veiksmų Projektų įgyvendinimo planų rengimą pateikimas</w:t>
            </w:r>
            <w:r>
              <w:rPr>
                <w:bCs/>
                <w:szCs w:val="24"/>
              </w:rPr>
              <w:t xml:space="preserve">  Šiaulių regiono plėtros tarybai, 2024 m. gruodis.</w:t>
            </w:r>
          </w:p>
        </w:tc>
        <w:tc>
          <w:tcPr>
            <w:tcW w:w="4536" w:type="dxa"/>
            <w:vMerge/>
          </w:tcPr>
          <w:p w14:paraId="0D8623A4" w14:textId="77777777" w:rsidR="008B3367" w:rsidRPr="007739AD" w:rsidRDefault="008B3367" w:rsidP="008B3367">
            <w:pPr>
              <w:rPr>
                <w:szCs w:val="24"/>
              </w:rPr>
            </w:pPr>
          </w:p>
        </w:tc>
      </w:tr>
    </w:tbl>
    <w:p w14:paraId="1B53FC29" w14:textId="77777777" w:rsidR="00D634E8" w:rsidRDefault="00D634E8">
      <w:pPr>
        <w:jc w:val="both"/>
        <w:rPr>
          <w:b/>
          <w:szCs w:val="24"/>
          <w:u w:val="single"/>
        </w:rPr>
      </w:pPr>
    </w:p>
    <w:p w14:paraId="7FFD67D0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 Informacija apie Strategijos veiksmų įgyvendinimą</w:t>
      </w:r>
    </w:p>
    <w:p w14:paraId="37849C3C" w14:textId="77777777" w:rsidR="00D634E8" w:rsidRDefault="00D634E8">
      <w:pPr>
        <w:jc w:val="both"/>
        <w:rPr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268"/>
        <w:gridCol w:w="1701"/>
        <w:gridCol w:w="1842"/>
        <w:gridCol w:w="1985"/>
      </w:tblGrid>
      <w:tr w:rsidR="00D634E8" w14:paraId="759C6D10" w14:textId="77777777" w:rsidTr="00A12025">
        <w:trPr>
          <w:trHeight w:val="651"/>
        </w:trPr>
        <w:tc>
          <w:tcPr>
            <w:tcW w:w="6091" w:type="dxa"/>
            <w:shd w:val="pct5" w:color="auto" w:fill="auto"/>
            <w:vAlign w:val="center"/>
          </w:tcPr>
          <w:p w14:paraId="756A856E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Veiksmas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128DD2C9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Veiksmo įgyvendinimo būklė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5DC2C61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Projekto (-ų) kodas (-ai)</w:t>
            </w:r>
          </w:p>
        </w:tc>
        <w:tc>
          <w:tcPr>
            <w:tcW w:w="1842" w:type="dxa"/>
            <w:shd w:val="pct5" w:color="auto" w:fill="auto"/>
            <w:vAlign w:val="center"/>
          </w:tcPr>
          <w:p w14:paraId="4A9F6A64" w14:textId="77777777" w:rsidR="00D634E8" w:rsidRPr="006B6386" w:rsidRDefault="00F37FDA">
            <w:pPr>
              <w:jc w:val="center"/>
              <w:rPr>
                <w:b/>
                <w:sz w:val="20"/>
              </w:rPr>
            </w:pPr>
            <w:r w:rsidRPr="006B6386">
              <w:rPr>
                <w:b/>
                <w:szCs w:val="24"/>
              </w:rPr>
              <w:t>Rizikų įvertinimas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60C16068" w14:textId="77777777" w:rsidR="00D634E8" w:rsidRPr="006B6386" w:rsidRDefault="00F37FDA">
            <w:pPr>
              <w:jc w:val="center"/>
              <w:rPr>
                <w:b/>
                <w:sz w:val="20"/>
              </w:rPr>
            </w:pPr>
            <w:r w:rsidRPr="006B6386">
              <w:rPr>
                <w:b/>
                <w:szCs w:val="24"/>
              </w:rPr>
              <w:t>Informacija apie rizikų valdymą</w:t>
            </w:r>
          </w:p>
        </w:tc>
      </w:tr>
      <w:tr w:rsidR="00D634E8" w14:paraId="33DED2D8" w14:textId="77777777" w:rsidTr="00A12025">
        <w:tc>
          <w:tcPr>
            <w:tcW w:w="6091" w:type="dxa"/>
            <w:shd w:val="pct5" w:color="auto" w:fill="auto"/>
            <w:vAlign w:val="center"/>
          </w:tcPr>
          <w:p w14:paraId="0D11059D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611102D1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4A60143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1842" w:type="dxa"/>
            <w:shd w:val="pct5" w:color="auto" w:fill="auto"/>
            <w:vAlign w:val="center"/>
          </w:tcPr>
          <w:p w14:paraId="4F8B5269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2EE575A4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</w:p>
        </w:tc>
      </w:tr>
      <w:tr w:rsidR="00D634E8" w14:paraId="197F8620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064B8024" w14:textId="4118D0A0" w:rsidR="00D634E8" w:rsidRPr="006B6386" w:rsidRDefault="00F37FDA" w:rsidP="006B6386">
            <w:pPr>
              <w:widowControl w:val="0"/>
              <w:suppressAutoHyphens/>
              <w:rPr>
                <w:bCs/>
                <w:szCs w:val="24"/>
              </w:rPr>
            </w:pPr>
            <w:r w:rsidRPr="006B6386">
              <w:rPr>
                <w:b/>
                <w:szCs w:val="24"/>
                <w:lang w:val="en-US"/>
              </w:rPr>
              <w:t xml:space="preserve">1 </w:t>
            </w:r>
            <w:proofErr w:type="spellStart"/>
            <w:r w:rsidRPr="006B6386">
              <w:rPr>
                <w:b/>
                <w:szCs w:val="24"/>
                <w:lang w:val="en-US"/>
              </w:rPr>
              <w:t>tikslas</w:t>
            </w:r>
            <w:proofErr w:type="spellEnd"/>
            <w:r w:rsidRPr="006B6386">
              <w:rPr>
                <w:b/>
                <w:szCs w:val="24"/>
                <w:lang w:val="en-US"/>
              </w:rPr>
              <w:t xml:space="preserve">: </w:t>
            </w:r>
            <w:r w:rsidR="006B6386" w:rsidRPr="006B6386">
              <w:rPr>
                <w:rFonts w:eastAsia="Calibri"/>
                <w:szCs w:val="24"/>
              </w:rPr>
              <w:t>Pagerinti sąlygas tvariai regiono ekonominei ir socialinei plėtrai</w:t>
            </w:r>
          </w:p>
        </w:tc>
      </w:tr>
      <w:tr w:rsidR="00D634E8" w14:paraId="2EEC6944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4C493112" w14:textId="10941848" w:rsidR="00D634E8" w:rsidRPr="006B6386" w:rsidRDefault="00F37FDA" w:rsidP="006B6386">
            <w:pPr>
              <w:widowControl w:val="0"/>
              <w:suppressAutoHyphens/>
              <w:rPr>
                <w:b/>
                <w:szCs w:val="24"/>
                <w:u w:val="single"/>
              </w:rPr>
            </w:pPr>
            <w:r w:rsidRPr="006B6386">
              <w:rPr>
                <w:b/>
                <w:szCs w:val="24"/>
              </w:rPr>
              <w:t>1.1</w:t>
            </w:r>
            <w:r w:rsidR="006B6386" w:rsidRPr="006B6386">
              <w:rPr>
                <w:b/>
                <w:szCs w:val="24"/>
              </w:rPr>
              <w:t xml:space="preserve"> </w:t>
            </w:r>
            <w:r w:rsidRPr="006B6386">
              <w:rPr>
                <w:b/>
                <w:szCs w:val="24"/>
              </w:rPr>
              <w:t>uždavinys</w:t>
            </w:r>
            <w:r w:rsidRPr="006B6386">
              <w:rPr>
                <w:iCs/>
                <w:szCs w:val="24"/>
              </w:rPr>
              <w:t xml:space="preserve">: </w:t>
            </w:r>
            <w:r w:rsidR="006B6386" w:rsidRPr="006B6386">
              <w:rPr>
                <w:rFonts w:eastAsia="Calibri"/>
                <w:szCs w:val="24"/>
              </w:rPr>
              <w:t>Padidinti regiono investicinį patrauklumą ir pagerinti verslui palankią aplinką</w:t>
            </w:r>
          </w:p>
        </w:tc>
      </w:tr>
      <w:tr w:rsidR="00A97EB8" w14:paraId="721AB39C" w14:textId="77777777" w:rsidTr="00A12025">
        <w:trPr>
          <w:trHeight w:val="545"/>
        </w:trPr>
        <w:tc>
          <w:tcPr>
            <w:tcW w:w="6091" w:type="dxa"/>
          </w:tcPr>
          <w:p w14:paraId="3E8F147E" w14:textId="1A58C434" w:rsidR="00A97EB8" w:rsidRPr="006B6386" w:rsidRDefault="00A97EB8" w:rsidP="00A97EB8">
            <w:pPr>
              <w:rPr>
                <w:szCs w:val="24"/>
              </w:rPr>
            </w:pPr>
            <w:r w:rsidRPr="006B6386">
              <w:rPr>
                <w:szCs w:val="24"/>
              </w:rPr>
              <w:t xml:space="preserve">1.1.1. </w:t>
            </w:r>
            <w:r w:rsidRPr="006B6386">
              <w:rPr>
                <w:iCs/>
                <w:szCs w:val="24"/>
              </w:rPr>
              <w:t xml:space="preserve">Pastato, esančio adresu Žemaitijos g.  6A, Naujoji Akmenė, pritaikymas verslo </w:t>
            </w:r>
            <w:proofErr w:type="spellStart"/>
            <w:r w:rsidRPr="006B6386">
              <w:rPr>
                <w:iCs/>
                <w:szCs w:val="24"/>
              </w:rPr>
              <w:t>bendradarbystės</w:t>
            </w:r>
            <w:proofErr w:type="spellEnd"/>
            <w:r w:rsidRPr="006B6386">
              <w:rPr>
                <w:iCs/>
                <w:szCs w:val="24"/>
              </w:rPr>
              <w:t xml:space="preserve"> reikmėms</w:t>
            </w:r>
          </w:p>
        </w:tc>
        <w:tc>
          <w:tcPr>
            <w:tcW w:w="2268" w:type="dxa"/>
          </w:tcPr>
          <w:p w14:paraId="73A74E01" w14:textId="77777777" w:rsidR="00A97EB8" w:rsidRPr="00150893" w:rsidRDefault="00A97EB8" w:rsidP="00A97EB8">
            <w:pPr>
              <w:jc w:val="both"/>
              <w:rPr>
                <w:szCs w:val="24"/>
              </w:rPr>
            </w:pPr>
            <w:r w:rsidRPr="00150893">
              <w:rPr>
                <w:szCs w:val="24"/>
              </w:rPr>
              <w:t xml:space="preserve">Rengiamas </w:t>
            </w:r>
          </w:p>
          <w:p w14:paraId="121207DC" w14:textId="74687C43" w:rsidR="00A97EB8" w:rsidRPr="00A97EB8" w:rsidRDefault="00A97EB8" w:rsidP="00A97EB8">
            <w:pPr>
              <w:rPr>
                <w:sz w:val="20"/>
                <w:u w:val="single"/>
              </w:rPr>
            </w:pPr>
            <w:r w:rsidRPr="00A97EB8">
              <w:rPr>
                <w:i/>
                <w:iCs/>
                <w:sz w:val="20"/>
              </w:rPr>
              <w:t>(ruošiamasi Projekto įgyvendinimo plano (toliau – PĮP) teikimui)</w:t>
            </w:r>
          </w:p>
        </w:tc>
        <w:tc>
          <w:tcPr>
            <w:tcW w:w="1701" w:type="dxa"/>
          </w:tcPr>
          <w:p w14:paraId="58C42D7B" w14:textId="52E007E3" w:rsidR="00A97EB8" w:rsidRPr="00A97EB8" w:rsidRDefault="00A97EB8" w:rsidP="00A97EB8">
            <w:pPr>
              <w:rPr>
                <w:szCs w:val="24"/>
              </w:rPr>
            </w:pPr>
            <w:r w:rsidRPr="00A97EB8"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7911A81D" w14:textId="63AFE5AE" w:rsidR="00A97EB8" w:rsidRPr="00A97EB8" w:rsidRDefault="00A97EB8" w:rsidP="00A97EB8">
            <w:pPr>
              <w:rPr>
                <w:szCs w:val="24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56B57F9" w14:textId="560FBE37" w:rsidR="00A97EB8" w:rsidRDefault="00A97EB8" w:rsidP="00A97EB8">
            <w:pPr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-</w:t>
            </w:r>
          </w:p>
        </w:tc>
      </w:tr>
      <w:tr w:rsidR="00A97EB8" w14:paraId="375A96F4" w14:textId="77777777" w:rsidTr="00A12025">
        <w:trPr>
          <w:trHeight w:val="605"/>
        </w:trPr>
        <w:tc>
          <w:tcPr>
            <w:tcW w:w="6091" w:type="dxa"/>
          </w:tcPr>
          <w:p w14:paraId="056964CE" w14:textId="02C24C18" w:rsidR="00A97EB8" w:rsidRPr="006B6386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1.1.2. </w:t>
            </w:r>
            <w:r w:rsidRPr="00B160E2">
              <w:rPr>
                <w:szCs w:val="24"/>
              </w:rPr>
              <w:t>Smulkiųjų verslininkų ir amatininkų kompetencijų centro įkūrimas Kuršėnų mieste</w:t>
            </w:r>
          </w:p>
        </w:tc>
        <w:tc>
          <w:tcPr>
            <w:tcW w:w="2268" w:type="dxa"/>
          </w:tcPr>
          <w:p w14:paraId="2700B754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74CF380" w14:textId="6185E7C2" w:rsidR="00A97EB8" w:rsidRPr="00A97EB8" w:rsidRDefault="00A97EB8" w:rsidP="00A97EB8">
            <w:pPr>
              <w:rPr>
                <w:sz w:val="19"/>
                <w:szCs w:val="19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E2645FA" w14:textId="779B6481" w:rsidR="00A97EB8" w:rsidRP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D573E72" w14:textId="5CA48060" w:rsidR="00A97EB8" w:rsidRDefault="00A97EB8" w:rsidP="00A97EB8">
            <w:pPr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7035ED9" w14:textId="3501210B" w:rsidR="00A97EB8" w:rsidRDefault="00A97EB8" w:rsidP="00A97EB8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52D35186" w14:textId="77777777" w:rsidTr="00A12025">
        <w:trPr>
          <w:trHeight w:val="366"/>
        </w:trPr>
        <w:tc>
          <w:tcPr>
            <w:tcW w:w="6091" w:type="dxa"/>
          </w:tcPr>
          <w:p w14:paraId="4D022CC1" w14:textId="43C3C061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1.1.3. </w:t>
            </w:r>
            <w:r w:rsidRPr="00B160E2">
              <w:rPr>
                <w:szCs w:val="24"/>
              </w:rPr>
              <w:t>Šeduvos verslo parko įrengimas</w:t>
            </w:r>
          </w:p>
        </w:tc>
        <w:tc>
          <w:tcPr>
            <w:tcW w:w="2268" w:type="dxa"/>
          </w:tcPr>
          <w:p w14:paraId="2E853173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77BCE77" w14:textId="46C6C77E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3AC89B8" w14:textId="1F6BAF49" w:rsidR="00A97EB8" w:rsidRP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5D2C0D31" w14:textId="2DDDC256" w:rsidR="00A97EB8" w:rsidRDefault="00A97EB8" w:rsidP="00A97EB8">
            <w:pPr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E02F739" w14:textId="075D6D67" w:rsidR="00A97EB8" w:rsidRDefault="00A97EB8" w:rsidP="00A97EB8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7E97AF20" w14:textId="77777777" w:rsidTr="00A12025">
        <w:trPr>
          <w:trHeight w:val="282"/>
        </w:trPr>
        <w:tc>
          <w:tcPr>
            <w:tcW w:w="6091" w:type="dxa"/>
          </w:tcPr>
          <w:p w14:paraId="6FB1A76A" w14:textId="60A1B289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1.1.4. </w:t>
            </w:r>
            <w:r w:rsidRPr="00B160E2">
              <w:rPr>
                <w:szCs w:val="24"/>
              </w:rPr>
              <w:t xml:space="preserve">Kelmės r. savivaldybės pramonės teritorijos </w:t>
            </w:r>
            <w:proofErr w:type="spellStart"/>
            <w:r w:rsidRPr="00B160E2">
              <w:rPr>
                <w:szCs w:val="24"/>
              </w:rPr>
              <w:t>Pagojo</w:t>
            </w:r>
            <w:proofErr w:type="spellEnd"/>
            <w:r w:rsidRPr="00B160E2">
              <w:rPr>
                <w:szCs w:val="24"/>
              </w:rPr>
              <w:t xml:space="preserve"> k. infrastruktūros įrengimas ir modernizavimas</w:t>
            </w:r>
          </w:p>
        </w:tc>
        <w:tc>
          <w:tcPr>
            <w:tcW w:w="2268" w:type="dxa"/>
          </w:tcPr>
          <w:p w14:paraId="5C65F2EE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D708F10" w14:textId="4E258082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322D0E8A" w14:textId="0FBFD239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59380AE" w14:textId="4CF083C3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06BC3DB3" w14:textId="41FBAC60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4EC46A0A" w14:textId="77777777" w:rsidTr="00A12025">
        <w:trPr>
          <w:trHeight w:val="240"/>
        </w:trPr>
        <w:tc>
          <w:tcPr>
            <w:tcW w:w="6091" w:type="dxa"/>
          </w:tcPr>
          <w:p w14:paraId="607CF24F" w14:textId="5BDCE4A7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1.1.5. </w:t>
            </w:r>
            <w:r w:rsidRPr="00B160E2">
              <w:rPr>
                <w:szCs w:val="24"/>
              </w:rPr>
              <w:t>Pramonės teritorijos vystymas ir verslo sąlygų gerinimas Kuršėnų mieste</w:t>
            </w:r>
          </w:p>
        </w:tc>
        <w:tc>
          <w:tcPr>
            <w:tcW w:w="2268" w:type="dxa"/>
          </w:tcPr>
          <w:p w14:paraId="2727B9E5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468AE2C" w14:textId="3A13437C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2EEE8FEC" w14:textId="1010B5DB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11142495" w14:textId="6C1D42CF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CCC256B" w14:textId="3998FE81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518EDA98" w14:textId="77777777" w:rsidTr="00A12025">
        <w:trPr>
          <w:trHeight w:val="268"/>
        </w:trPr>
        <w:tc>
          <w:tcPr>
            <w:tcW w:w="6091" w:type="dxa"/>
          </w:tcPr>
          <w:p w14:paraId="2E71FF32" w14:textId="597FC136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1.1.6. </w:t>
            </w:r>
            <w:proofErr w:type="spellStart"/>
            <w:r w:rsidRPr="00B9165E">
              <w:rPr>
                <w:szCs w:val="24"/>
              </w:rPr>
              <w:t>Bendradarbystės</w:t>
            </w:r>
            <w:proofErr w:type="spellEnd"/>
            <w:r w:rsidRPr="00B9165E">
              <w:rPr>
                <w:szCs w:val="24"/>
              </w:rPr>
              <w:t xml:space="preserve"> erdvės įkūrimas Joniškio r. savivaldybėje</w:t>
            </w:r>
          </w:p>
        </w:tc>
        <w:tc>
          <w:tcPr>
            <w:tcW w:w="2268" w:type="dxa"/>
          </w:tcPr>
          <w:p w14:paraId="03612469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657FEAC" w14:textId="40BE81D3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58D200B2" w14:textId="67873F89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B71A24E" w14:textId="4A9D5A56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216C448F" w14:textId="119F80D8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78056A0C" w14:textId="77777777" w:rsidTr="00A12025">
        <w:trPr>
          <w:trHeight w:val="269"/>
        </w:trPr>
        <w:tc>
          <w:tcPr>
            <w:tcW w:w="6091" w:type="dxa"/>
          </w:tcPr>
          <w:p w14:paraId="21059AB2" w14:textId="7FA24C46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1.1.7. </w:t>
            </w:r>
            <w:r w:rsidRPr="00B9165E">
              <w:rPr>
                <w:szCs w:val="24"/>
              </w:rPr>
              <w:t>Jungtinės veiklos sutartis dėl regiono investicinio patrauklumo padidinimo ir verslui palankios aplinkos pagerinimo</w:t>
            </w:r>
          </w:p>
        </w:tc>
        <w:tc>
          <w:tcPr>
            <w:tcW w:w="2268" w:type="dxa"/>
          </w:tcPr>
          <w:p w14:paraId="5E183F13" w14:textId="1C109306" w:rsidR="00A97EB8" w:rsidRPr="00A97EB8" w:rsidRDefault="00386E53" w:rsidP="00A97E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Įgyvendin</w:t>
            </w:r>
            <w:r w:rsidR="00A97EB8" w:rsidRPr="00A97EB8">
              <w:rPr>
                <w:szCs w:val="24"/>
              </w:rPr>
              <w:t xml:space="preserve">amas </w:t>
            </w:r>
          </w:p>
          <w:p w14:paraId="6F0C708F" w14:textId="298442CB" w:rsidR="00A97EB8" w:rsidRPr="00E356C6" w:rsidRDefault="00A97EB8" w:rsidP="00E356C6">
            <w:pPr>
              <w:rPr>
                <w:sz w:val="21"/>
                <w:szCs w:val="21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</w:t>
            </w:r>
            <w:r w:rsidR="00386E53" w:rsidRPr="00E356C6">
              <w:rPr>
                <w:i/>
                <w:iCs/>
                <w:sz w:val="21"/>
                <w:szCs w:val="21"/>
              </w:rPr>
              <w:t>JV sutartis pasirašyta 2024 m. gruodžio mėn.</w:t>
            </w:r>
            <w:r w:rsidRPr="00E356C6">
              <w:rPr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1701" w:type="dxa"/>
          </w:tcPr>
          <w:p w14:paraId="51E73A77" w14:textId="77777777" w:rsidR="00386E53" w:rsidRPr="00386E53" w:rsidRDefault="00386E53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4B470C3E" w14:textId="2EBAC2B8" w:rsidR="00A97EB8" w:rsidRPr="00E356C6" w:rsidRDefault="00386E53" w:rsidP="00E356C6">
            <w:pPr>
              <w:rPr>
                <w:sz w:val="22"/>
                <w:szCs w:val="22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842" w:type="dxa"/>
          </w:tcPr>
          <w:p w14:paraId="7FAD8EBF" w14:textId="427DBD62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04A28A0" w14:textId="6CD730B7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3508D26C" w14:textId="77777777" w:rsidTr="00A12025">
        <w:trPr>
          <w:trHeight w:val="352"/>
        </w:trPr>
        <w:tc>
          <w:tcPr>
            <w:tcW w:w="6091" w:type="dxa"/>
          </w:tcPr>
          <w:p w14:paraId="1C26C4AB" w14:textId="2B6A40B7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 xml:space="preserve">1.1.8. </w:t>
            </w:r>
            <w:r w:rsidRPr="00B9165E">
              <w:rPr>
                <w:szCs w:val="24"/>
              </w:rPr>
              <w:t>Jungtinės veiklos sutartis dėl neformaliojo švietimo  Kelmės r., Šiaulių r. ir Šiaulių miesto savivaldybių gyventojams</w:t>
            </w:r>
          </w:p>
        </w:tc>
        <w:tc>
          <w:tcPr>
            <w:tcW w:w="2268" w:type="dxa"/>
          </w:tcPr>
          <w:p w14:paraId="06D7FBC1" w14:textId="77777777" w:rsidR="00E356C6" w:rsidRPr="00A97EB8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>Įgyvendin</w:t>
            </w:r>
            <w:r w:rsidRPr="00A97EB8">
              <w:rPr>
                <w:szCs w:val="24"/>
              </w:rPr>
              <w:t xml:space="preserve">amas </w:t>
            </w:r>
          </w:p>
          <w:p w14:paraId="165383B4" w14:textId="26E1BE1B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63CB3C7C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1CF050FB" w14:textId="06DC4FF2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842" w:type="dxa"/>
          </w:tcPr>
          <w:p w14:paraId="4A5F76B0" w14:textId="04366746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B591F0B" w14:textId="36248B59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B9165E" w14:paraId="57A69412" w14:textId="77777777" w:rsidTr="001E3523">
        <w:trPr>
          <w:trHeight w:val="319"/>
        </w:trPr>
        <w:tc>
          <w:tcPr>
            <w:tcW w:w="13887" w:type="dxa"/>
            <w:gridSpan w:val="5"/>
          </w:tcPr>
          <w:p w14:paraId="0D6ADCD5" w14:textId="210EA934" w:rsidR="00B9165E" w:rsidRPr="00150893" w:rsidRDefault="00B9165E">
            <w:pPr>
              <w:jc w:val="both"/>
              <w:rPr>
                <w:szCs w:val="24"/>
                <w:highlight w:val="lightGray"/>
              </w:rPr>
            </w:pPr>
            <w:r w:rsidRPr="00150893">
              <w:rPr>
                <w:b/>
                <w:bCs/>
                <w:szCs w:val="24"/>
                <w:highlight w:val="lightGray"/>
              </w:rPr>
              <w:t>1.2 uždavinys:</w:t>
            </w:r>
            <w:r w:rsidRPr="00150893">
              <w:rPr>
                <w:szCs w:val="24"/>
                <w:highlight w:val="lightGray"/>
              </w:rPr>
              <w:t xml:space="preserve"> Pritaikyti gamtos ir kultūros objektus lankymui, gerinti informacijos sklaidą</w:t>
            </w:r>
          </w:p>
        </w:tc>
      </w:tr>
      <w:tr w:rsidR="00470012" w14:paraId="6F8C9E1A" w14:textId="77777777" w:rsidTr="00A12025">
        <w:trPr>
          <w:trHeight w:val="202"/>
        </w:trPr>
        <w:tc>
          <w:tcPr>
            <w:tcW w:w="6091" w:type="dxa"/>
          </w:tcPr>
          <w:p w14:paraId="720DF601" w14:textId="693F07A7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1.2.1. </w:t>
            </w:r>
            <w:r w:rsidRPr="00404DC1">
              <w:rPr>
                <w:szCs w:val="24"/>
              </w:rPr>
              <w:t>Tytuvėnų turizmo ir neformaliojo kraštotyros švietimo centro įrengimas</w:t>
            </w:r>
          </w:p>
        </w:tc>
        <w:tc>
          <w:tcPr>
            <w:tcW w:w="2268" w:type="dxa"/>
          </w:tcPr>
          <w:p w14:paraId="545CF991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CA370DD" w14:textId="0DDF0DB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52D825C" w14:textId="411DD76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7DEEE679" w14:textId="30DCA36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10CB51B" w14:textId="1B75168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49E27E69" w14:textId="77777777" w:rsidTr="00A12025">
        <w:trPr>
          <w:trHeight w:val="202"/>
        </w:trPr>
        <w:tc>
          <w:tcPr>
            <w:tcW w:w="6091" w:type="dxa"/>
          </w:tcPr>
          <w:p w14:paraId="4D0BE61F" w14:textId="6BE6DE0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1.2.2. </w:t>
            </w:r>
            <w:r w:rsidRPr="000B3A2B">
              <w:rPr>
                <w:szCs w:val="24"/>
              </w:rPr>
              <w:t xml:space="preserve">Tytuvėnų m. </w:t>
            </w:r>
            <w:proofErr w:type="spellStart"/>
            <w:r w:rsidRPr="000B3A2B">
              <w:rPr>
                <w:szCs w:val="24"/>
              </w:rPr>
              <w:t>Giliaus</w:t>
            </w:r>
            <w:proofErr w:type="spellEnd"/>
            <w:r w:rsidRPr="000B3A2B">
              <w:rPr>
                <w:szCs w:val="24"/>
              </w:rPr>
              <w:t xml:space="preserve"> ežero  pritaikymas lankymui </w:t>
            </w:r>
          </w:p>
        </w:tc>
        <w:tc>
          <w:tcPr>
            <w:tcW w:w="2268" w:type="dxa"/>
          </w:tcPr>
          <w:p w14:paraId="75EE4C20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C8800D0" w14:textId="51EB56F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8940553" w14:textId="4C743EE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119D3239" w14:textId="229F44A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69C6BDA" w14:textId="531A38E6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5B2323B0" w14:textId="77777777" w:rsidTr="00A12025">
        <w:trPr>
          <w:trHeight w:val="352"/>
        </w:trPr>
        <w:tc>
          <w:tcPr>
            <w:tcW w:w="6091" w:type="dxa"/>
          </w:tcPr>
          <w:p w14:paraId="11009604" w14:textId="0DC578A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1.2.3. </w:t>
            </w:r>
            <w:r w:rsidRPr="007417EF">
              <w:rPr>
                <w:szCs w:val="24"/>
              </w:rPr>
              <w:t xml:space="preserve">Tytuvėnų m. </w:t>
            </w:r>
            <w:proofErr w:type="spellStart"/>
            <w:r w:rsidRPr="007417EF">
              <w:rPr>
                <w:szCs w:val="24"/>
              </w:rPr>
              <w:t>Bridvaišio</w:t>
            </w:r>
            <w:proofErr w:type="spellEnd"/>
            <w:r w:rsidRPr="007417EF">
              <w:rPr>
                <w:szCs w:val="24"/>
              </w:rPr>
              <w:t xml:space="preserve"> ež</w:t>
            </w:r>
            <w:r>
              <w:rPr>
                <w:szCs w:val="24"/>
              </w:rPr>
              <w:t>ero</w:t>
            </w:r>
            <w:r w:rsidRPr="007417EF">
              <w:rPr>
                <w:szCs w:val="24"/>
              </w:rPr>
              <w:t xml:space="preserve"> pritaikymas lankymui</w:t>
            </w:r>
          </w:p>
        </w:tc>
        <w:tc>
          <w:tcPr>
            <w:tcW w:w="2268" w:type="dxa"/>
          </w:tcPr>
          <w:p w14:paraId="3005B529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E87DFFB" w14:textId="6603A50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DA899CB" w14:textId="34E00F0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820D304" w14:textId="12ACA26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E4C2B3A" w14:textId="03DF521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DD3234D" w14:textId="77777777" w:rsidTr="00A12025">
        <w:trPr>
          <w:trHeight w:val="305"/>
        </w:trPr>
        <w:tc>
          <w:tcPr>
            <w:tcW w:w="6091" w:type="dxa"/>
          </w:tcPr>
          <w:p w14:paraId="6E104646" w14:textId="6D5E994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1.2.4. </w:t>
            </w:r>
            <w:r w:rsidRPr="00FA6CCA">
              <w:rPr>
                <w:szCs w:val="24"/>
              </w:rPr>
              <w:t>Žagarės dolomito atodangos pritaikymas lankymui</w:t>
            </w:r>
          </w:p>
        </w:tc>
        <w:tc>
          <w:tcPr>
            <w:tcW w:w="2268" w:type="dxa"/>
          </w:tcPr>
          <w:p w14:paraId="11B0DAF5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164EC3C" w14:textId="48CC983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17C77691" w14:textId="165A9311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26-308-P-0002</w:t>
            </w:r>
          </w:p>
        </w:tc>
        <w:tc>
          <w:tcPr>
            <w:tcW w:w="1842" w:type="dxa"/>
          </w:tcPr>
          <w:p w14:paraId="5A1C5811" w14:textId="79F8EA9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0C6B5CC8" w14:textId="5D4CC44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46210E84" w14:textId="77777777" w:rsidTr="00A12025">
        <w:trPr>
          <w:trHeight w:val="324"/>
        </w:trPr>
        <w:tc>
          <w:tcPr>
            <w:tcW w:w="6091" w:type="dxa"/>
          </w:tcPr>
          <w:p w14:paraId="3253E8F1" w14:textId="4D0A972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1.2.5. </w:t>
            </w:r>
            <w:r w:rsidRPr="0042327E">
              <w:rPr>
                <w:szCs w:val="24"/>
              </w:rPr>
              <w:t>Žagarės ozo pritaikymas lankymui</w:t>
            </w:r>
          </w:p>
        </w:tc>
        <w:tc>
          <w:tcPr>
            <w:tcW w:w="2268" w:type="dxa"/>
          </w:tcPr>
          <w:p w14:paraId="19421089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81C41DC" w14:textId="16811391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4F178CBB" w14:textId="18E4F25E" w:rsidR="00470012" w:rsidRPr="00822EEB" w:rsidRDefault="00470012" w:rsidP="00470012">
            <w:pPr>
              <w:jc w:val="both"/>
              <w:rPr>
                <w:szCs w:val="24"/>
              </w:rPr>
            </w:pPr>
            <w:r w:rsidRPr="00822EEB">
              <w:rPr>
                <w:szCs w:val="24"/>
              </w:rPr>
              <w:t>26-308-P-0001</w:t>
            </w:r>
          </w:p>
        </w:tc>
        <w:tc>
          <w:tcPr>
            <w:tcW w:w="1842" w:type="dxa"/>
          </w:tcPr>
          <w:p w14:paraId="557ECCC8" w14:textId="74CCC74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C82EF3E" w14:textId="6F053CE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5EF768A" w14:textId="77777777" w:rsidTr="00A12025">
        <w:trPr>
          <w:trHeight w:val="310"/>
        </w:trPr>
        <w:tc>
          <w:tcPr>
            <w:tcW w:w="6091" w:type="dxa"/>
          </w:tcPr>
          <w:p w14:paraId="73EEBD92" w14:textId="06DD4D5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1.2.6. </w:t>
            </w:r>
            <w:r w:rsidRPr="001F454C">
              <w:rPr>
                <w:szCs w:val="24"/>
              </w:rPr>
              <w:t>Tyrulių pelkės pritaikymas lankymui</w:t>
            </w:r>
          </w:p>
        </w:tc>
        <w:tc>
          <w:tcPr>
            <w:tcW w:w="2268" w:type="dxa"/>
          </w:tcPr>
          <w:p w14:paraId="77296A0E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8EB8CF1" w14:textId="0AD69286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F8AB99D" w14:textId="64BFE6D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7FFA17D" w14:textId="3107768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4E31026" w14:textId="065A401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3B513C9" w14:textId="77777777" w:rsidTr="00A12025">
        <w:trPr>
          <w:trHeight w:val="310"/>
        </w:trPr>
        <w:tc>
          <w:tcPr>
            <w:tcW w:w="6091" w:type="dxa"/>
          </w:tcPr>
          <w:p w14:paraId="5864F3C6" w14:textId="4F049BC5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1.2.7. </w:t>
            </w:r>
            <w:proofErr w:type="spellStart"/>
            <w:r w:rsidRPr="00C26117">
              <w:rPr>
                <w:szCs w:val="24"/>
              </w:rPr>
              <w:t>Kruojos</w:t>
            </w:r>
            <w:proofErr w:type="spellEnd"/>
            <w:r w:rsidRPr="00C26117">
              <w:rPr>
                <w:szCs w:val="24"/>
              </w:rPr>
              <w:t xml:space="preserve"> upės ir Pakruojo tvenkinio pritaikymas lankymui</w:t>
            </w:r>
          </w:p>
        </w:tc>
        <w:tc>
          <w:tcPr>
            <w:tcW w:w="2268" w:type="dxa"/>
          </w:tcPr>
          <w:p w14:paraId="4F5A0E58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3E8CB32" w14:textId="4CE52B3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4C815F5" w14:textId="0EB7063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AFF14D9" w14:textId="1E7638C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6CF8F30" w14:textId="386D317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BFE34F0" w14:textId="77777777" w:rsidTr="00A12025">
        <w:trPr>
          <w:trHeight w:val="310"/>
        </w:trPr>
        <w:tc>
          <w:tcPr>
            <w:tcW w:w="6091" w:type="dxa"/>
          </w:tcPr>
          <w:p w14:paraId="1EF7BF3D" w14:textId="76EAB000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1.2.8. </w:t>
            </w:r>
            <w:proofErr w:type="spellStart"/>
            <w:r w:rsidRPr="0022707F">
              <w:rPr>
                <w:szCs w:val="24"/>
              </w:rPr>
              <w:t>Luokavos</w:t>
            </w:r>
            <w:proofErr w:type="spellEnd"/>
            <w:r w:rsidRPr="0022707F">
              <w:rPr>
                <w:szCs w:val="24"/>
              </w:rPr>
              <w:t xml:space="preserve"> piliakalnio pritaikymas lankymui</w:t>
            </w:r>
          </w:p>
        </w:tc>
        <w:tc>
          <w:tcPr>
            <w:tcW w:w="2268" w:type="dxa"/>
          </w:tcPr>
          <w:p w14:paraId="500F6FC8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17041FB" w14:textId="7B40256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AA00436" w14:textId="66E86AF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17CE7724" w14:textId="7D5B56C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6BD6CA7" w14:textId="341CBEC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1E943D3" w14:textId="77777777" w:rsidTr="00A12025">
        <w:trPr>
          <w:trHeight w:val="391"/>
        </w:trPr>
        <w:tc>
          <w:tcPr>
            <w:tcW w:w="6091" w:type="dxa"/>
          </w:tcPr>
          <w:p w14:paraId="73676773" w14:textId="6CBDCAD8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1.2.9. </w:t>
            </w:r>
            <w:r w:rsidRPr="00772D0D">
              <w:rPr>
                <w:szCs w:val="24"/>
              </w:rPr>
              <w:t xml:space="preserve">Žemės gelmių sluoksnių Menčių karjere ir </w:t>
            </w:r>
            <w:proofErr w:type="spellStart"/>
            <w:r w:rsidRPr="00772D0D">
              <w:rPr>
                <w:szCs w:val="24"/>
              </w:rPr>
              <w:t>Sablauskių</w:t>
            </w:r>
            <w:proofErr w:type="spellEnd"/>
            <w:r w:rsidRPr="00772D0D">
              <w:rPr>
                <w:szCs w:val="24"/>
              </w:rPr>
              <w:t xml:space="preserve"> tvenkinio pritaikymas lankymui</w:t>
            </w:r>
          </w:p>
        </w:tc>
        <w:tc>
          <w:tcPr>
            <w:tcW w:w="2268" w:type="dxa"/>
          </w:tcPr>
          <w:p w14:paraId="75D1ABEE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0F8A0AF" w14:textId="07BDB43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3D3947CB" w14:textId="13B8357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59841800" w14:textId="1CE8F87E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B99AF5D" w14:textId="3091CBD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3F42450" w14:textId="77777777" w:rsidTr="00A12025">
        <w:trPr>
          <w:trHeight w:val="319"/>
        </w:trPr>
        <w:tc>
          <w:tcPr>
            <w:tcW w:w="6091" w:type="dxa"/>
          </w:tcPr>
          <w:p w14:paraId="422D99AC" w14:textId="58B20EAC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1.2.10. </w:t>
            </w:r>
            <w:r w:rsidRPr="003E1F8C">
              <w:rPr>
                <w:szCs w:val="24"/>
              </w:rPr>
              <w:t>Akmenės gamtos ir kultūros parko pritaikymas lankymui</w:t>
            </w:r>
          </w:p>
        </w:tc>
        <w:tc>
          <w:tcPr>
            <w:tcW w:w="2268" w:type="dxa"/>
          </w:tcPr>
          <w:p w14:paraId="64450D28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A6D3279" w14:textId="4816978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7A3647BC" w14:textId="25BF709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F6AFA33" w14:textId="3C4EBE8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160D3698" w14:textId="33EEFB1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FF77742" w14:textId="77777777" w:rsidTr="00A12025">
        <w:trPr>
          <w:trHeight w:val="301"/>
        </w:trPr>
        <w:tc>
          <w:tcPr>
            <w:tcW w:w="6091" w:type="dxa"/>
          </w:tcPr>
          <w:p w14:paraId="24C46992" w14:textId="7DFBC04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1.2.11. </w:t>
            </w:r>
            <w:r w:rsidRPr="003E1F8C">
              <w:rPr>
                <w:szCs w:val="24"/>
              </w:rPr>
              <w:t>Gamtos ir kultūros objektų pritaikymas lankymui Šiaulių rajono savivaldybėje</w:t>
            </w:r>
          </w:p>
        </w:tc>
        <w:tc>
          <w:tcPr>
            <w:tcW w:w="2268" w:type="dxa"/>
          </w:tcPr>
          <w:p w14:paraId="72233283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E12D517" w14:textId="4B55BC4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53859F08" w14:textId="3324F731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4832E147" w14:textId="2C2BCEE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2F945CB" w14:textId="27ACF49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55EB572D" w14:textId="77777777" w:rsidTr="00A12025">
        <w:trPr>
          <w:trHeight w:val="249"/>
        </w:trPr>
        <w:tc>
          <w:tcPr>
            <w:tcW w:w="6091" w:type="dxa"/>
          </w:tcPr>
          <w:p w14:paraId="5499A03D" w14:textId="3845147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1.2.12. </w:t>
            </w:r>
            <w:proofErr w:type="spellStart"/>
            <w:r w:rsidRPr="003E1F8C">
              <w:rPr>
                <w:szCs w:val="24"/>
              </w:rPr>
              <w:t>Antaniškių</w:t>
            </w:r>
            <w:proofErr w:type="spellEnd"/>
            <w:r w:rsidRPr="003E1F8C">
              <w:rPr>
                <w:szCs w:val="24"/>
              </w:rPr>
              <w:t xml:space="preserve"> miško pritaikymas  lankymui</w:t>
            </w:r>
          </w:p>
        </w:tc>
        <w:tc>
          <w:tcPr>
            <w:tcW w:w="2268" w:type="dxa"/>
          </w:tcPr>
          <w:p w14:paraId="21DADFCB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4A51430" w14:textId="64C840A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C04289C" w14:textId="7164C1D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7696EB32" w14:textId="416E703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16C9C731" w14:textId="44D4A11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3AE96AAB" w14:textId="77777777" w:rsidTr="00A12025">
        <w:trPr>
          <w:trHeight w:val="329"/>
        </w:trPr>
        <w:tc>
          <w:tcPr>
            <w:tcW w:w="6091" w:type="dxa"/>
          </w:tcPr>
          <w:p w14:paraId="71C706E7" w14:textId="20AB910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1.2.13. </w:t>
            </w:r>
            <w:proofErr w:type="spellStart"/>
            <w:r w:rsidRPr="003E1F8C">
              <w:rPr>
                <w:szCs w:val="24"/>
              </w:rPr>
              <w:t>Laičių</w:t>
            </w:r>
            <w:proofErr w:type="spellEnd"/>
            <w:r w:rsidRPr="003E1F8C">
              <w:rPr>
                <w:szCs w:val="24"/>
              </w:rPr>
              <w:t xml:space="preserve"> tvenkinio pritaikymas lankymui</w:t>
            </w:r>
          </w:p>
        </w:tc>
        <w:tc>
          <w:tcPr>
            <w:tcW w:w="2268" w:type="dxa"/>
          </w:tcPr>
          <w:p w14:paraId="2C359DEB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7B60AF32" w14:textId="1FF805A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72E04EE" w14:textId="08FEBEBA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4B7FEA5D" w14:textId="2FE7A93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054ECBB4" w14:textId="6554171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CA69D93" w14:textId="77777777" w:rsidTr="00A12025">
        <w:trPr>
          <w:trHeight w:val="258"/>
        </w:trPr>
        <w:tc>
          <w:tcPr>
            <w:tcW w:w="6091" w:type="dxa"/>
          </w:tcPr>
          <w:p w14:paraId="554FCE66" w14:textId="6F150D66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1.2.14. </w:t>
            </w:r>
            <w:r w:rsidRPr="003E1F8C">
              <w:rPr>
                <w:szCs w:val="24"/>
              </w:rPr>
              <w:t>Lietuvos valstybės atkūrimo šimtmečio ąžuolyno, Sidabros upės ir tvenkinio pritaikymas lankymui</w:t>
            </w:r>
          </w:p>
        </w:tc>
        <w:tc>
          <w:tcPr>
            <w:tcW w:w="2268" w:type="dxa"/>
          </w:tcPr>
          <w:p w14:paraId="1E724299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71AE03AE" w14:textId="2071BCA1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3BD0283E" w14:textId="0FA4510A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26-308-P-0003</w:t>
            </w:r>
          </w:p>
        </w:tc>
        <w:tc>
          <w:tcPr>
            <w:tcW w:w="1842" w:type="dxa"/>
          </w:tcPr>
          <w:p w14:paraId="3BA49A15" w14:textId="522FABA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4B7DD03" w14:textId="09D8FB9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37114E8" w14:textId="77777777" w:rsidTr="00A12025">
        <w:trPr>
          <w:trHeight w:val="282"/>
        </w:trPr>
        <w:tc>
          <w:tcPr>
            <w:tcW w:w="6091" w:type="dxa"/>
          </w:tcPr>
          <w:p w14:paraId="5C1FEC72" w14:textId="41EFB9D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1.2.15. </w:t>
            </w:r>
            <w:proofErr w:type="spellStart"/>
            <w:r w:rsidRPr="003E1F8C">
              <w:rPr>
                <w:szCs w:val="24"/>
              </w:rPr>
              <w:t>Burbiškio</w:t>
            </w:r>
            <w:proofErr w:type="spellEnd"/>
            <w:r w:rsidRPr="003E1F8C">
              <w:rPr>
                <w:szCs w:val="24"/>
              </w:rPr>
              <w:t xml:space="preserve"> dvaro sodybos pritaikymas lankymui</w:t>
            </w:r>
          </w:p>
        </w:tc>
        <w:tc>
          <w:tcPr>
            <w:tcW w:w="2268" w:type="dxa"/>
          </w:tcPr>
          <w:p w14:paraId="565BED9A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FBEA974" w14:textId="1FB707D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077B163" w14:textId="4BB473E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ADD1288" w14:textId="64CE88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E1CD701" w14:textId="6255C4C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351482A" w14:textId="77777777" w:rsidTr="00A12025">
        <w:trPr>
          <w:trHeight w:val="263"/>
        </w:trPr>
        <w:tc>
          <w:tcPr>
            <w:tcW w:w="6091" w:type="dxa"/>
          </w:tcPr>
          <w:p w14:paraId="146F9217" w14:textId="21F834FC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1.2.16. </w:t>
            </w:r>
            <w:r w:rsidRPr="003E1F8C">
              <w:rPr>
                <w:szCs w:val="24"/>
              </w:rPr>
              <w:t>Pakruojo rajono savivaldybės kultūros objektų pritaikymas lankymui</w:t>
            </w:r>
          </w:p>
        </w:tc>
        <w:tc>
          <w:tcPr>
            <w:tcW w:w="2268" w:type="dxa"/>
          </w:tcPr>
          <w:p w14:paraId="0F6BAD37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7443CF2" w14:textId="30E0C80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2FE2D96C" w14:textId="3A67C051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2CBBBEFB" w14:textId="3949A73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99A663F" w14:textId="59A1916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64302D97" w14:textId="77777777" w:rsidTr="00A12025">
        <w:trPr>
          <w:trHeight w:val="244"/>
        </w:trPr>
        <w:tc>
          <w:tcPr>
            <w:tcW w:w="6091" w:type="dxa"/>
          </w:tcPr>
          <w:p w14:paraId="1D34C7A5" w14:textId="6EED649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1.2.17. </w:t>
            </w:r>
            <w:r w:rsidRPr="003E1F8C">
              <w:rPr>
                <w:szCs w:val="24"/>
              </w:rPr>
              <w:t>Kuršėnų dvaro sodybos teritorijos pritaikymas lankymui</w:t>
            </w:r>
          </w:p>
        </w:tc>
        <w:tc>
          <w:tcPr>
            <w:tcW w:w="2268" w:type="dxa"/>
          </w:tcPr>
          <w:p w14:paraId="2653BF69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CDBD591" w14:textId="75E2F25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89CE03C" w14:textId="1E76D8B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5533F5A" w14:textId="5065468A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5B24C91" w14:textId="584FF65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8115956" w14:textId="77777777" w:rsidTr="00A12025">
        <w:trPr>
          <w:trHeight w:val="291"/>
        </w:trPr>
        <w:tc>
          <w:tcPr>
            <w:tcW w:w="6091" w:type="dxa"/>
          </w:tcPr>
          <w:p w14:paraId="405DBF30" w14:textId="1070A22E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1.2.18. </w:t>
            </w:r>
            <w:proofErr w:type="spellStart"/>
            <w:r w:rsidRPr="003E1F8C">
              <w:rPr>
                <w:szCs w:val="24"/>
              </w:rPr>
              <w:t>Pakiršinio</w:t>
            </w:r>
            <w:proofErr w:type="spellEnd"/>
            <w:r w:rsidRPr="003E1F8C">
              <w:rPr>
                <w:szCs w:val="24"/>
              </w:rPr>
              <w:t xml:space="preserve"> dvaro pritaikymas lankymui</w:t>
            </w:r>
          </w:p>
        </w:tc>
        <w:tc>
          <w:tcPr>
            <w:tcW w:w="2268" w:type="dxa"/>
          </w:tcPr>
          <w:p w14:paraId="1B4F425F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77C6C2D" w14:textId="4AB2054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2B4EEF16" w14:textId="2A80B18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E36F8AF" w14:textId="26269DB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DEF154F" w14:textId="327D7F5A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20DBAC46" w14:textId="77777777" w:rsidTr="00A12025">
        <w:trPr>
          <w:trHeight w:val="296"/>
        </w:trPr>
        <w:tc>
          <w:tcPr>
            <w:tcW w:w="6091" w:type="dxa"/>
          </w:tcPr>
          <w:p w14:paraId="69A61D4C" w14:textId="0A6656A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1.2.19. </w:t>
            </w:r>
            <w:r w:rsidRPr="003E1F8C">
              <w:rPr>
                <w:szCs w:val="24"/>
              </w:rPr>
              <w:t>Apžadų kapelių pritaikymas lankymui</w:t>
            </w:r>
          </w:p>
        </w:tc>
        <w:tc>
          <w:tcPr>
            <w:tcW w:w="2268" w:type="dxa"/>
          </w:tcPr>
          <w:p w14:paraId="138B5B91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4BECD7E" w14:textId="6444822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6DE2F4B" w14:textId="3342AA2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54C925E3" w14:textId="1F87522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3BF66E8" w14:textId="256822F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A5C4B08" w14:textId="77777777" w:rsidTr="00A12025">
        <w:trPr>
          <w:trHeight w:val="249"/>
        </w:trPr>
        <w:tc>
          <w:tcPr>
            <w:tcW w:w="6091" w:type="dxa"/>
          </w:tcPr>
          <w:p w14:paraId="254A71B2" w14:textId="1E787766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1.2.20. </w:t>
            </w:r>
            <w:r w:rsidRPr="003E1F8C">
              <w:rPr>
                <w:szCs w:val="24"/>
              </w:rPr>
              <w:t>Kelmės evangelikų reformatų bažnyčios pritaikymas lankymui</w:t>
            </w:r>
          </w:p>
        </w:tc>
        <w:tc>
          <w:tcPr>
            <w:tcW w:w="2268" w:type="dxa"/>
          </w:tcPr>
          <w:p w14:paraId="27118A43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3F87409" w14:textId="66F1F8D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5D8843DA" w14:textId="6BE43B6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4F9FE014" w14:textId="2DC7BC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3644FF5" w14:textId="6295867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A9A40FB" w14:textId="77777777" w:rsidTr="00A12025">
        <w:trPr>
          <w:trHeight w:val="249"/>
        </w:trPr>
        <w:tc>
          <w:tcPr>
            <w:tcW w:w="6091" w:type="dxa"/>
          </w:tcPr>
          <w:p w14:paraId="2A36E5E8" w14:textId="14529FF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1.2.21. </w:t>
            </w:r>
            <w:r w:rsidRPr="004835CF">
              <w:rPr>
                <w:szCs w:val="24"/>
              </w:rPr>
              <w:t>Kelmės Tūkstan</w:t>
            </w:r>
            <w:r>
              <w:rPr>
                <w:szCs w:val="24"/>
              </w:rPr>
              <w:t>t</w:t>
            </w:r>
            <w:r w:rsidRPr="004835CF">
              <w:rPr>
                <w:szCs w:val="24"/>
              </w:rPr>
              <w:t>mečio parko pritaikymas lankymui</w:t>
            </w:r>
          </w:p>
        </w:tc>
        <w:tc>
          <w:tcPr>
            <w:tcW w:w="2268" w:type="dxa"/>
          </w:tcPr>
          <w:p w14:paraId="38DE1473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71EC48F" w14:textId="3AC3516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2675C2C" w14:textId="7215A24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2247BCA2" w14:textId="43000FF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51C529E" w14:textId="7470F5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F7A8765" w14:textId="77777777" w:rsidTr="00A12025">
        <w:trPr>
          <w:trHeight w:val="282"/>
        </w:trPr>
        <w:tc>
          <w:tcPr>
            <w:tcW w:w="6091" w:type="dxa"/>
          </w:tcPr>
          <w:p w14:paraId="1149EF73" w14:textId="671DE068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1.2.22. </w:t>
            </w:r>
            <w:proofErr w:type="spellStart"/>
            <w:r w:rsidRPr="004835CF">
              <w:rPr>
                <w:szCs w:val="24"/>
              </w:rPr>
              <w:t>Burbaičių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4765FEED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C73D030" w14:textId="059AB583" w:rsidR="00470012" w:rsidRPr="000B2908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6206B13B" w14:textId="5CD3542E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26-308-P-0004</w:t>
            </w:r>
          </w:p>
        </w:tc>
        <w:tc>
          <w:tcPr>
            <w:tcW w:w="1842" w:type="dxa"/>
          </w:tcPr>
          <w:p w14:paraId="35C9FE93" w14:textId="47F093E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21381496" w14:textId="7367381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30142D57" w14:textId="77777777" w:rsidTr="00A12025">
        <w:trPr>
          <w:trHeight w:val="263"/>
        </w:trPr>
        <w:tc>
          <w:tcPr>
            <w:tcW w:w="6091" w:type="dxa"/>
          </w:tcPr>
          <w:p w14:paraId="726855A3" w14:textId="5594CEC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1.2.23. </w:t>
            </w:r>
            <w:r w:rsidRPr="004835CF">
              <w:rPr>
                <w:szCs w:val="24"/>
              </w:rPr>
              <w:t>Kelmės r. savivaldybės kultūros objektų pritaikymas lankymui</w:t>
            </w:r>
          </w:p>
        </w:tc>
        <w:tc>
          <w:tcPr>
            <w:tcW w:w="2268" w:type="dxa"/>
          </w:tcPr>
          <w:p w14:paraId="696E73E5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7AA3EC2" w14:textId="4D61073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49366BB9" w14:textId="3509954C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26-308-P-0005</w:t>
            </w:r>
          </w:p>
        </w:tc>
        <w:tc>
          <w:tcPr>
            <w:tcW w:w="1842" w:type="dxa"/>
          </w:tcPr>
          <w:p w14:paraId="47CF6A7A" w14:textId="22218AFE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B34B517" w14:textId="7BDDF6F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0E6CBC98" w14:textId="77777777" w:rsidTr="00A12025">
        <w:trPr>
          <w:trHeight w:val="319"/>
        </w:trPr>
        <w:tc>
          <w:tcPr>
            <w:tcW w:w="6091" w:type="dxa"/>
          </w:tcPr>
          <w:p w14:paraId="1EFA30A7" w14:textId="703762C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1.2.24.  </w:t>
            </w:r>
            <w:proofErr w:type="spellStart"/>
            <w:r w:rsidRPr="004835CF">
              <w:rPr>
                <w:szCs w:val="24"/>
              </w:rPr>
              <w:t>Maironių</w:t>
            </w:r>
            <w:proofErr w:type="spellEnd"/>
            <w:r w:rsidRPr="004835CF">
              <w:rPr>
                <w:szCs w:val="24"/>
              </w:rPr>
              <w:t xml:space="preserve"> akmens su "vaiko pėda" ir šaltinio  pritaikymas lankymui</w:t>
            </w:r>
          </w:p>
        </w:tc>
        <w:tc>
          <w:tcPr>
            <w:tcW w:w="2268" w:type="dxa"/>
          </w:tcPr>
          <w:p w14:paraId="3BBFA2A4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7F29468A" w14:textId="41CF4C23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D840E19" w14:textId="48A8BD65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7E1DB98F" w14:textId="0C76AE0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564931E" w14:textId="3FFDF57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5D964E76" w14:textId="77777777" w:rsidTr="00A12025">
        <w:trPr>
          <w:trHeight w:val="263"/>
        </w:trPr>
        <w:tc>
          <w:tcPr>
            <w:tcW w:w="6091" w:type="dxa"/>
          </w:tcPr>
          <w:p w14:paraId="7B56DB28" w14:textId="7CC93A4E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1.2.25. </w:t>
            </w:r>
            <w:r w:rsidRPr="004835CF">
              <w:rPr>
                <w:szCs w:val="24"/>
              </w:rPr>
              <w:t>Pavandenės (</w:t>
            </w:r>
            <w:proofErr w:type="spellStart"/>
            <w:r w:rsidRPr="004835CF">
              <w:rPr>
                <w:szCs w:val="24"/>
              </w:rPr>
              <w:t>Sakelinės</w:t>
            </w:r>
            <w:proofErr w:type="spellEnd"/>
            <w:r w:rsidRPr="004835CF">
              <w:rPr>
                <w:szCs w:val="24"/>
              </w:rPr>
              <w:t>) buv. dvaro sodybos pritaikymas lankymui</w:t>
            </w:r>
          </w:p>
        </w:tc>
        <w:tc>
          <w:tcPr>
            <w:tcW w:w="2268" w:type="dxa"/>
          </w:tcPr>
          <w:p w14:paraId="0CBEAA4E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E228770" w14:textId="09981E2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DB2C1E9" w14:textId="2BCA3B6D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DC5C289" w14:textId="08569C58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6C4F921" w14:textId="7DB883F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1852FA2C" w14:textId="77777777" w:rsidTr="00A12025">
        <w:trPr>
          <w:trHeight w:val="245"/>
        </w:trPr>
        <w:tc>
          <w:tcPr>
            <w:tcW w:w="6091" w:type="dxa"/>
          </w:tcPr>
          <w:p w14:paraId="03103910" w14:textId="24FB5E55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1.2.26. </w:t>
            </w:r>
            <w:r w:rsidRPr="004835CF">
              <w:rPr>
                <w:szCs w:val="24"/>
              </w:rPr>
              <w:t xml:space="preserve">Kubilių, </w:t>
            </w:r>
            <w:proofErr w:type="spellStart"/>
            <w:r w:rsidRPr="004835CF">
              <w:rPr>
                <w:szCs w:val="24"/>
              </w:rPr>
              <w:t>Papušynio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2AAC0DE0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069DACE" w14:textId="259D0E3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7FBC8F6" w14:textId="153609AD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15951B8" w14:textId="551DFB3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4AA0DD34" w14:textId="7A3ACD0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D075B32" w14:textId="77777777" w:rsidTr="00A12025">
        <w:trPr>
          <w:trHeight w:val="230"/>
        </w:trPr>
        <w:tc>
          <w:tcPr>
            <w:tcW w:w="6091" w:type="dxa"/>
          </w:tcPr>
          <w:p w14:paraId="42B2A905" w14:textId="18B4851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1.2.27.  </w:t>
            </w:r>
            <w:proofErr w:type="spellStart"/>
            <w:r w:rsidRPr="004835CF">
              <w:rPr>
                <w:szCs w:val="24"/>
              </w:rPr>
              <w:t>Medžiokalnio</w:t>
            </w:r>
            <w:proofErr w:type="spellEnd"/>
            <w:r w:rsidRPr="004835CF">
              <w:rPr>
                <w:szCs w:val="24"/>
              </w:rPr>
              <w:t xml:space="preserve"> pritaikymas lankymui</w:t>
            </w:r>
          </w:p>
        </w:tc>
        <w:tc>
          <w:tcPr>
            <w:tcW w:w="2268" w:type="dxa"/>
          </w:tcPr>
          <w:p w14:paraId="3CD9AA1E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B0AEDDF" w14:textId="05600982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D5461AC" w14:textId="5059741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933DF46" w14:textId="12C6F16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16094777" w14:textId="75285AA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1DC2C20A" w14:textId="77777777" w:rsidTr="00A12025">
        <w:trPr>
          <w:trHeight w:val="254"/>
        </w:trPr>
        <w:tc>
          <w:tcPr>
            <w:tcW w:w="6091" w:type="dxa"/>
          </w:tcPr>
          <w:p w14:paraId="0C7FD6E4" w14:textId="45A2E2EE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1.2.28. </w:t>
            </w:r>
            <w:r w:rsidRPr="004835CF">
              <w:rPr>
                <w:szCs w:val="24"/>
              </w:rPr>
              <w:t xml:space="preserve">Kalniškių, </w:t>
            </w:r>
            <w:proofErr w:type="spellStart"/>
            <w:r w:rsidRPr="004835CF">
              <w:rPr>
                <w:szCs w:val="24"/>
              </w:rPr>
              <w:t>Spakainasties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75F1BCFC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F6398C9" w14:textId="55EBF4D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AE91416" w14:textId="581D18D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AB46B41" w14:textId="6F4F2BE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26837F98" w14:textId="4B53118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F5319C4" w14:textId="77777777" w:rsidTr="00A12025">
        <w:trPr>
          <w:trHeight w:val="240"/>
        </w:trPr>
        <w:tc>
          <w:tcPr>
            <w:tcW w:w="6091" w:type="dxa"/>
          </w:tcPr>
          <w:p w14:paraId="1605836F" w14:textId="752C7D0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1.2.29. </w:t>
            </w:r>
            <w:r w:rsidRPr="004835CF">
              <w:rPr>
                <w:szCs w:val="24"/>
              </w:rPr>
              <w:t>Šeduvos kultūros ir gamtos objektų  pritaikymas lankymui</w:t>
            </w:r>
          </w:p>
        </w:tc>
        <w:tc>
          <w:tcPr>
            <w:tcW w:w="2268" w:type="dxa"/>
          </w:tcPr>
          <w:p w14:paraId="4CD5650E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C8FF6EA" w14:textId="3192963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A0054AF" w14:textId="5F99846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29BDAA26" w14:textId="1F7A88F8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C352ED9" w14:textId="3AE5422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2960C6CB" w14:textId="77777777" w:rsidTr="00A12025">
        <w:trPr>
          <w:trHeight w:val="230"/>
        </w:trPr>
        <w:tc>
          <w:tcPr>
            <w:tcW w:w="6091" w:type="dxa"/>
          </w:tcPr>
          <w:p w14:paraId="33011A74" w14:textId="783A64D2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1.2.30. </w:t>
            </w:r>
            <w:proofErr w:type="spellStart"/>
            <w:r w:rsidRPr="004835CF">
              <w:rPr>
                <w:szCs w:val="24"/>
              </w:rPr>
              <w:t>Dabikinės</w:t>
            </w:r>
            <w:proofErr w:type="spellEnd"/>
            <w:r w:rsidRPr="004835CF">
              <w:rPr>
                <w:szCs w:val="24"/>
              </w:rPr>
              <w:t xml:space="preserve"> dvaro parko pritaikymas lankymui</w:t>
            </w:r>
          </w:p>
        </w:tc>
        <w:tc>
          <w:tcPr>
            <w:tcW w:w="2268" w:type="dxa"/>
          </w:tcPr>
          <w:p w14:paraId="082689AA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C60A271" w14:textId="497BEF8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32449BC6" w14:textId="32A13E2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D18C2CA" w14:textId="6ED925E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09F57A48" w14:textId="1B908F7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3FA5A6D" w14:textId="77777777" w:rsidTr="00A12025">
        <w:trPr>
          <w:trHeight w:val="291"/>
        </w:trPr>
        <w:tc>
          <w:tcPr>
            <w:tcW w:w="6091" w:type="dxa"/>
          </w:tcPr>
          <w:p w14:paraId="74B3CF0B" w14:textId="0B48A9B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1.2.31. </w:t>
            </w:r>
            <w:r w:rsidRPr="004835CF">
              <w:rPr>
                <w:szCs w:val="24"/>
              </w:rPr>
              <w:t>Papilės II piliakalnio pritaikymas lankymui</w:t>
            </w:r>
          </w:p>
        </w:tc>
        <w:tc>
          <w:tcPr>
            <w:tcW w:w="2268" w:type="dxa"/>
          </w:tcPr>
          <w:p w14:paraId="13DCEC67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11AD11B" w14:textId="1D65DDE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CD4D93D" w14:textId="67FF6A8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C9EF099" w14:textId="4CA73F18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880E5BD" w14:textId="472C6B7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1D364C6" w14:textId="77777777" w:rsidTr="00A12025">
        <w:trPr>
          <w:trHeight w:val="291"/>
        </w:trPr>
        <w:tc>
          <w:tcPr>
            <w:tcW w:w="6091" w:type="dxa"/>
          </w:tcPr>
          <w:p w14:paraId="186B636A" w14:textId="0E4A915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1.2.32. </w:t>
            </w:r>
            <w:r w:rsidRPr="004835CF">
              <w:rPr>
                <w:szCs w:val="24"/>
              </w:rPr>
              <w:t>Kultūros objektų, esančių Šv. Jokūbo piligriminiame kelyje, pritaikymas lankymui</w:t>
            </w:r>
          </w:p>
        </w:tc>
        <w:tc>
          <w:tcPr>
            <w:tcW w:w="2268" w:type="dxa"/>
          </w:tcPr>
          <w:p w14:paraId="21EE9D0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AD1A70E" w14:textId="5A0B3032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802C438" w14:textId="7A44C46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D2E3CD5" w14:textId="3B2FA63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21E0A2D4" w14:textId="2E09780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E0E2503" w14:textId="77777777" w:rsidTr="00A12025">
        <w:trPr>
          <w:trHeight w:val="292"/>
        </w:trPr>
        <w:tc>
          <w:tcPr>
            <w:tcW w:w="6091" w:type="dxa"/>
          </w:tcPr>
          <w:p w14:paraId="5FB99C3C" w14:textId="7B721C48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1.2.33. </w:t>
            </w:r>
            <w:r w:rsidRPr="004835CF">
              <w:rPr>
                <w:szCs w:val="24"/>
              </w:rPr>
              <w:t>Kryžių kalno pritaikymas lankymui</w:t>
            </w:r>
          </w:p>
        </w:tc>
        <w:tc>
          <w:tcPr>
            <w:tcW w:w="2268" w:type="dxa"/>
          </w:tcPr>
          <w:p w14:paraId="3C4FA1A1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EABA4FA" w14:textId="55F87095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9E4FC56" w14:textId="3703EED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70B15046" w14:textId="2CEE07A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D616FE2" w14:textId="42A8FDF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02F0177D" w14:textId="77777777" w:rsidTr="00A12025">
        <w:trPr>
          <w:trHeight w:val="315"/>
        </w:trPr>
        <w:tc>
          <w:tcPr>
            <w:tcW w:w="6091" w:type="dxa"/>
          </w:tcPr>
          <w:p w14:paraId="6E548883" w14:textId="52296716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1.2.34. </w:t>
            </w:r>
            <w:proofErr w:type="spellStart"/>
            <w:r w:rsidRPr="004835CF">
              <w:rPr>
                <w:szCs w:val="24"/>
              </w:rPr>
              <w:t>Kudinų</w:t>
            </w:r>
            <w:proofErr w:type="spellEnd"/>
            <w:r w:rsidRPr="004835CF">
              <w:rPr>
                <w:szCs w:val="24"/>
              </w:rPr>
              <w:t xml:space="preserve"> piliakalnio  (kitaip vadinamo </w:t>
            </w:r>
            <w:proofErr w:type="spellStart"/>
            <w:r w:rsidRPr="004835CF">
              <w:rPr>
                <w:szCs w:val="24"/>
              </w:rPr>
              <w:t>Šiaulės</w:t>
            </w:r>
            <w:proofErr w:type="spellEnd"/>
            <w:r w:rsidRPr="004835CF">
              <w:rPr>
                <w:szCs w:val="24"/>
              </w:rPr>
              <w:t xml:space="preserve"> kalnu) pritaikymas lankymui</w:t>
            </w:r>
          </w:p>
        </w:tc>
        <w:tc>
          <w:tcPr>
            <w:tcW w:w="2268" w:type="dxa"/>
          </w:tcPr>
          <w:p w14:paraId="6824CF10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C05F08B" w14:textId="6728983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4AE9CE26" w14:textId="1B63618D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69676DA" w14:textId="4EA2183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55A4403" w14:textId="3B87E673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0BDB9A13" w14:textId="77777777" w:rsidTr="00A12025">
        <w:trPr>
          <w:trHeight w:val="329"/>
        </w:trPr>
        <w:tc>
          <w:tcPr>
            <w:tcW w:w="6091" w:type="dxa"/>
          </w:tcPr>
          <w:p w14:paraId="45949C3B" w14:textId="4AF89F64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 xml:space="preserve">1.2.35. </w:t>
            </w:r>
            <w:r w:rsidRPr="00464180">
              <w:rPr>
                <w:szCs w:val="24"/>
              </w:rPr>
              <w:t>Jungtinės veiklos sutartis dėl Gamtos ir kultūros objektų pritaikymo lankymui ir informacinės sklaidos gerinimo</w:t>
            </w:r>
          </w:p>
        </w:tc>
        <w:tc>
          <w:tcPr>
            <w:tcW w:w="2268" w:type="dxa"/>
          </w:tcPr>
          <w:p w14:paraId="1C92B9BC" w14:textId="77777777" w:rsidR="00E356C6" w:rsidRPr="00A97EB8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>Įgyvendin</w:t>
            </w:r>
            <w:r w:rsidRPr="00A97EB8">
              <w:rPr>
                <w:szCs w:val="24"/>
              </w:rPr>
              <w:t xml:space="preserve">amas </w:t>
            </w:r>
          </w:p>
          <w:p w14:paraId="713A4B10" w14:textId="43EC2FAC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56EDB32C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645E9787" w14:textId="77FF8914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842" w:type="dxa"/>
          </w:tcPr>
          <w:p w14:paraId="1BE7F37B" w14:textId="61F8DC36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2C747C91" w14:textId="2324E553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71570" w14:paraId="5B81CF46" w14:textId="77777777" w:rsidTr="00953778">
        <w:trPr>
          <w:trHeight w:val="296"/>
        </w:trPr>
        <w:tc>
          <w:tcPr>
            <w:tcW w:w="13887" w:type="dxa"/>
            <w:gridSpan w:val="5"/>
          </w:tcPr>
          <w:p w14:paraId="52B09646" w14:textId="6DF7D1D9" w:rsidR="00E71570" w:rsidRPr="00150893" w:rsidRDefault="00E71570">
            <w:pPr>
              <w:jc w:val="both"/>
              <w:rPr>
                <w:szCs w:val="24"/>
                <w:highlight w:val="lightGray"/>
              </w:rPr>
            </w:pPr>
            <w:r w:rsidRPr="00150893">
              <w:rPr>
                <w:b/>
                <w:bCs/>
                <w:szCs w:val="24"/>
                <w:highlight w:val="lightGray"/>
              </w:rPr>
              <w:t>1.3 uždavinys:</w:t>
            </w:r>
            <w:r w:rsidRPr="00150893">
              <w:rPr>
                <w:szCs w:val="24"/>
                <w:highlight w:val="lightGray"/>
              </w:rPr>
              <w:t xml:space="preserve"> Padidinti viešojo keleivinio transporto ir atliekų tvarkymo sistemų efektyvumą</w:t>
            </w:r>
          </w:p>
        </w:tc>
      </w:tr>
      <w:tr w:rsidR="005B6FB3" w14:paraId="017B0BF2" w14:textId="77777777" w:rsidTr="00A12025">
        <w:trPr>
          <w:trHeight w:val="287"/>
        </w:trPr>
        <w:tc>
          <w:tcPr>
            <w:tcW w:w="6091" w:type="dxa"/>
          </w:tcPr>
          <w:p w14:paraId="6B25DFA0" w14:textId="79A7FB3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Pr="0044449E">
              <w:rPr>
                <w:szCs w:val="24"/>
              </w:rPr>
              <w:t>Radviliškio r. savivaldybės viešojo keleivinio transporto infrastruktūros plėtra ir modernizavimas</w:t>
            </w:r>
          </w:p>
        </w:tc>
        <w:tc>
          <w:tcPr>
            <w:tcW w:w="2268" w:type="dxa"/>
          </w:tcPr>
          <w:p w14:paraId="5AEEF9DC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700ED38" w14:textId="1CF45BA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9994CFE" w14:textId="656D746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392B8956" w14:textId="33187A7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564072A5" w14:textId="4D1F5DF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C989349" w14:textId="77777777" w:rsidTr="00A12025">
        <w:trPr>
          <w:trHeight w:val="287"/>
        </w:trPr>
        <w:tc>
          <w:tcPr>
            <w:tcW w:w="6091" w:type="dxa"/>
          </w:tcPr>
          <w:p w14:paraId="2B6DD0A5" w14:textId="5A4C001E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Pr="0044449E">
              <w:rPr>
                <w:szCs w:val="24"/>
              </w:rPr>
              <w:t>Viešojo keleivinio transporto paslaugų prieinamumo didinimas Šiaulių  r. savivaldybėje</w:t>
            </w:r>
          </w:p>
        </w:tc>
        <w:tc>
          <w:tcPr>
            <w:tcW w:w="2268" w:type="dxa"/>
          </w:tcPr>
          <w:p w14:paraId="476540D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EEA2308" w14:textId="1275966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74EC29F" w14:textId="4418CC62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538D29FF" w14:textId="06659DF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9910C7A" w14:textId="03693EA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20A85DE7" w14:textId="77777777" w:rsidTr="00A12025">
        <w:trPr>
          <w:trHeight w:val="258"/>
        </w:trPr>
        <w:tc>
          <w:tcPr>
            <w:tcW w:w="6091" w:type="dxa"/>
          </w:tcPr>
          <w:p w14:paraId="096435AE" w14:textId="24454B9B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 xml:space="preserve">1.3.3. </w:t>
            </w:r>
            <w:r w:rsidRPr="0044449E">
              <w:rPr>
                <w:szCs w:val="24"/>
              </w:rPr>
              <w:t>Jungtinės veiklos sutartis dėl  viešojo keleivinio transporto sistemos efektyvumo padidinimo Radviliškio r., Šiaulių r. ir Šiaulių miesto gyventojams</w:t>
            </w:r>
          </w:p>
        </w:tc>
        <w:tc>
          <w:tcPr>
            <w:tcW w:w="2268" w:type="dxa"/>
          </w:tcPr>
          <w:p w14:paraId="4C26FC63" w14:textId="77777777" w:rsidR="00E356C6" w:rsidRPr="00A97EB8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>Įgyvendin</w:t>
            </w:r>
            <w:r w:rsidRPr="00A97EB8">
              <w:rPr>
                <w:szCs w:val="24"/>
              </w:rPr>
              <w:t xml:space="preserve">amas </w:t>
            </w:r>
          </w:p>
          <w:p w14:paraId="646C13F9" w14:textId="0EAD4805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28B0AA6E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21472767" w14:textId="1C8703CC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842" w:type="dxa"/>
          </w:tcPr>
          <w:p w14:paraId="41BF5C21" w14:textId="53A788E3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53E434A" w14:textId="5D3B5FEE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3DD347CC" w14:textId="77777777" w:rsidTr="00A12025">
        <w:trPr>
          <w:trHeight w:val="240"/>
        </w:trPr>
        <w:tc>
          <w:tcPr>
            <w:tcW w:w="6091" w:type="dxa"/>
          </w:tcPr>
          <w:p w14:paraId="18EFD73D" w14:textId="059A78AB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1.3.4. </w:t>
            </w:r>
            <w:r w:rsidRPr="0044449E">
              <w:rPr>
                <w:szCs w:val="24"/>
              </w:rPr>
              <w:t>Ventos DGAS aikštelės išplėtimas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C33147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420EF30" w14:textId="1EA524AD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3E84EED6" w14:textId="407CB59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0CCB5EE3" w14:textId="0B4F83A1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103E774" w14:textId="0479713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556BAD8C" w14:textId="77777777" w:rsidTr="00A12025">
        <w:trPr>
          <w:trHeight w:val="235"/>
        </w:trPr>
        <w:tc>
          <w:tcPr>
            <w:tcW w:w="6091" w:type="dxa"/>
          </w:tcPr>
          <w:p w14:paraId="55B51714" w14:textId="49A7B793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1.3.5. </w:t>
            </w:r>
            <w:r w:rsidRPr="0044449E">
              <w:rPr>
                <w:szCs w:val="24"/>
              </w:rPr>
              <w:t>Atliekų tvarkymo paslaugų gerinimas Kelmės rajone</w:t>
            </w:r>
          </w:p>
        </w:tc>
        <w:tc>
          <w:tcPr>
            <w:tcW w:w="2268" w:type="dxa"/>
          </w:tcPr>
          <w:p w14:paraId="41F7ECAB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F432B91" w14:textId="5F3F38B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EEB1039" w14:textId="17704B42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4ADA3D8A" w14:textId="4A03D6F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3177A117" w14:textId="105B10E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10D2E761" w14:textId="77777777" w:rsidTr="00A12025">
        <w:trPr>
          <w:trHeight w:val="272"/>
        </w:trPr>
        <w:tc>
          <w:tcPr>
            <w:tcW w:w="6091" w:type="dxa"/>
          </w:tcPr>
          <w:p w14:paraId="0CE35523" w14:textId="3F5FB0E2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1.3.6. </w:t>
            </w:r>
            <w:r w:rsidRPr="0044449E">
              <w:rPr>
                <w:szCs w:val="24"/>
              </w:rPr>
              <w:t>Atliekų tvarkymo paslaugų gerinimas Pakruojo rajone</w:t>
            </w:r>
          </w:p>
        </w:tc>
        <w:tc>
          <w:tcPr>
            <w:tcW w:w="2268" w:type="dxa"/>
          </w:tcPr>
          <w:p w14:paraId="087D461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845DBE3" w14:textId="48F6DD7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7B114178" w14:textId="419BC4E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00986A9" w14:textId="0FDE7AA3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687FFB27" w14:textId="65137E1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3A045AC8" w14:textId="77777777" w:rsidTr="00A12025">
        <w:trPr>
          <w:trHeight w:val="560"/>
        </w:trPr>
        <w:tc>
          <w:tcPr>
            <w:tcW w:w="6091" w:type="dxa"/>
          </w:tcPr>
          <w:p w14:paraId="032A6E93" w14:textId="7D74CE2B" w:rsidR="005B6FB3" w:rsidRDefault="005B6FB3" w:rsidP="005B6FB3">
            <w:pPr>
              <w:rPr>
                <w:szCs w:val="24"/>
              </w:rPr>
            </w:pPr>
            <w:r w:rsidRPr="00150893">
              <w:rPr>
                <w:szCs w:val="24"/>
              </w:rPr>
              <w:t>1.3.7. Rūšiuojamojo atliekų surinkimo skatinimas Radviliškio rajone</w:t>
            </w:r>
          </w:p>
        </w:tc>
        <w:tc>
          <w:tcPr>
            <w:tcW w:w="2268" w:type="dxa"/>
          </w:tcPr>
          <w:p w14:paraId="37D8AE51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DE0AB09" w14:textId="0EA4263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7F0E437F" w14:textId="4A5B5FE1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14:paraId="61405E10" w14:textId="2E7A084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1985" w:type="dxa"/>
          </w:tcPr>
          <w:p w14:paraId="7D65809F" w14:textId="1A9CD8A6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</w:tbl>
    <w:p w14:paraId="295DEC9A" w14:textId="77777777" w:rsidR="00D634E8" w:rsidRDefault="00D634E8"/>
    <w:sectPr w:rsidR="00D63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B8FB" w14:textId="77777777" w:rsidR="00A25114" w:rsidRDefault="00A2511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7787248" w14:textId="77777777" w:rsidR="00A25114" w:rsidRDefault="00A2511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9A65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AC12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4772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2BE4" w14:textId="77777777" w:rsidR="00A25114" w:rsidRDefault="00A2511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317C6DB" w14:textId="77777777" w:rsidR="00A25114" w:rsidRDefault="00A2511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867F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F64" w14:textId="77777777" w:rsidR="00D634E8" w:rsidRDefault="00F37FDA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13B8D">
      <w:rPr>
        <w:noProof/>
        <w:szCs w:val="24"/>
      </w:rPr>
      <w:t>4</w:t>
    </w:r>
    <w:r>
      <w:rPr>
        <w:szCs w:val="24"/>
      </w:rPr>
      <w:fldChar w:fldCharType="end"/>
    </w:r>
  </w:p>
  <w:p w14:paraId="02B536F5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B38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AF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2C4186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9B27AD"/>
    <w:multiLevelType w:val="hybridMultilevel"/>
    <w:tmpl w:val="BEF41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8BD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9571115">
    <w:abstractNumId w:val="1"/>
  </w:num>
  <w:num w:numId="2" w16cid:durableId="1221205864">
    <w:abstractNumId w:val="2"/>
  </w:num>
  <w:num w:numId="3" w16cid:durableId="1741174831">
    <w:abstractNumId w:val="0"/>
  </w:num>
  <w:num w:numId="4" w16cid:durableId="1370954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076D8"/>
    <w:rsid w:val="0001689E"/>
    <w:rsid w:val="000223EC"/>
    <w:rsid w:val="00036EE9"/>
    <w:rsid w:val="00053134"/>
    <w:rsid w:val="000A2229"/>
    <w:rsid w:val="000A2353"/>
    <w:rsid w:val="000A7569"/>
    <w:rsid w:val="000B2908"/>
    <w:rsid w:val="000B3A2B"/>
    <w:rsid w:val="000C2BFB"/>
    <w:rsid w:val="000F5784"/>
    <w:rsid w:val="00104E51"/>
    <w:rsid w:val="00120AB8"/>
    <w:rsid w:val="00150893"/>
    <w:rsid w:val="00152044"/>
    <w:rsid w:val="0015490A"/>
    <w:rsid w:val="00166112"/>
    <w:rsid w:val="00191DF7"/>
    <w:rsid w:val="00192033"/>
    <w:rsid w:val="001B6B7A"/>
    <w:rsid w:val="001D426E"/>
    <w:rsid w:val="001D71B9"/>
    <w:rsid w:val="001E0E18"/>
    <w:rsid w:val="001E7132"/>
    <w:rsid w:val="001F454C"/>
    <w:rsid w:val="00203DE4"/>
    <w:rsid w:val="00216879"/>
    <w:rsid w:val="00225FFE"/>
    <w:rsid w:val="0022601A"/>
    <w:rsid w:val="0022707F"/>
    <w:rsid w:val="002500D6"/>
    <w:rsid w:val="0025034D"/>
    <w:rsid w:val="00260B33"/>
    <w:rsid w:val="00263FC0"/>
    <w:rsid w:val="00276D3E"/>
    <w:rsid w:val="002C5E15"/>
    <w:rsid w:val="002E440D"/>
    <w:rsid w:val="00304DD2"/>
    <w:rsid w:val="003062C4"/>
    <w:rsid w:val="00312D81"/>
    <w:rsid w:val="00314B20"/>
    <w:rsid w:val="00334191"/>
    <w:rsid w:val="00337267"/>
    <w:rsid w:val="003514B6"/>
    <w:rsid w:val="003538FC"/>
    <w:rsid w:val="00360D5A"/>
    <w:rsid w:val="003726B0"/>
    <w:rsid w:val="00381017"/>
    <w:rsid w:val="00384AF5"/>
    <w:rsid w:val="00386E53"/>
    <w:rsid w:val="00387452"/>
    <w:rsid w:val="003A1660"/>
    <w:rsid w:val="003A48AD"/>
    <w:rsid w:val="003A72C5"/>
    <w:rsid w:val="003B1626"/>
    <w:rsid w:val="003E1F8C"/>
    <w:rsid w:val="003F2305"/>
    <w:rsid w:val="003F3AEB"/>
    <w:rsid w:val="003F63A3"/>
    <w:rsid w:val="00404DC1"/>
    <w:rsid w:val="00411AB0"/>
    <w:rsid w:val="00413B8D"/>
    <w:rsid w:val="0042327E"/>
    <w:rsid w:val="00441787"/>
    <w:rsid w:val="0044449E"/>
    <w:rsid w:val="00456B3C"/>
    <w:rsid w:val="00464180"/>
    <w:rsid w:val="00470012"/>
    <w:rsid w:val="0047286B"/>
    <w:rsid w:val="004804D9"/>
    <w:rsid w:val="004835CF"/>
    <w:rsid w:val="004A0624"/>
    <w:rsid w:val="004B2B5E"/>
    <w:rsid w:val="004C4408"/>
    <w:rsid w:val="004D1FB2"/>
    <w:rsid w:val="00504359"/>
    <w:rsid w:val="0051501C"/>
    <w:rsid w:val="00521F02"/>
    <w:rsid w:val="00546C48"/>
    <w:rsid w:val="00590021"/>
    <w:rsid w:val="005917F1"/>
    <w:rsid w:val="005B5A44"/>
    <w:rsid w:val="005B6FB3"/>
    <w:rsid w:val="005C2820"/>
    <w:rsid w:val="005C7165"/>
    <w:rsid w:val="005D0611"/>
    <w:rsid w:val="005E4A5E"/>
    <w:rsid w:val="005E57AC"/>
    <w:rsid w:val="005E5949"/>
    <w:rsid w:val="00601002"/>
    <w:rsid w:val="00603ECB"/>
    <w:rsid w:val="00633DF6"/>
    <w:rsid w:val="00640160"/>
    <w:rsid w:val="006425ED"/>
    <w:rsid w:val="00661EF6"/>
    <w:rsid w:val="00674A6F"/>
    <w:rsid w:val="006752B2"/>
    <w:rsid w:val="00681097"/>
    <w:rsid w:val="006816BD"/>
    <w:rsid w:val="00684CBD"/>
    <w:rsid w:val="00690AFC"/>
    <w:rsid w:val="006A7602"/>
    <w:rsid w:val="006B2550"/>
    <w:rsid w:val="006B2E80"/>
    <w:rsid w:val="006B460E"/>
    <w:rsid w:val="006B5F48"/>
    <w:rsid w:val="006B6386"/>
    <w:rsid w:val="006D09EE"/>
    <w:rsid w:val="006D17F3"/>
    <w:rsid w:val="006D7E67"/>
    <w:rsid w:val="0070180F"/>
    <w:rsid w:val="00731251"/>
    <w:rsid w:val="007417EF"/>
    <w:rsid w:val="00761E9C"/>
    <w:rsid w:val="00772D0D"/>
    <w:rsid w:val="007739AD"/>
    <w:rsid w:val="00773D8F"/>
    <w:rsid w:val="007C0B7F"/>
    <w:rsid w:val="007C4F3C"/>
    <w:rsid w:val="007D21E6"/>
    <w:rsid w:val="007D3432"/>
    <w:rsid w:val="007D3E8D"/>
    <w:rsid w:val="007D5DB6"/>
    <w:rsid w:val="007F2012"/>
    <w:rsid w:val="008019DF"/>
    <w:rsid w:val="00803C66"/>
    <w:rsid w:val="00805A58"/>
    <w:rsid w:val="00822EEB"/>
    <w:rsid w:val="00852928"/>
    <w:rsid w:val="00854B17"/>
    <w:rsid w:val="008666C8"/>
    <w:rsid w:val="00871334"/>
    <w:rsid w:val="0087448E"/>
    <w:rsid w:val="00881BC1"/>
    <w:rsid w:val="0089230C"/>
    <w:rsid w:val="008A7E15"/>
    <w:rsid w:val="008B3367"/>
    <w:rsid w:val="00913B68"/>
    <w:rsid w:val="00915D40"/>
    <w:rsid w:val="00920736"/>
    <w:rsid w:val="009222C0"/>
    <w:rsid w:val="00922E0F"/>
    <w:rsid w:val="00936567"/>
    <w:rsid w:val="00943538"/>
    <w:rsid w:val="00951951"/>
    <w:rsid w:val="00954C9E"/>
    <w:rsid w:val="00962DED"/>
    <w:rsid w:val="00967AF7"/>
    <w:rsid w:val="0099726E"/>
    <w:rsid w:val="009A3FA5"/>
    <w:rsid w:val="009C0A79"/>
    <w:rsid w:val="009C0AAC"/>
    <w:rsid w:val="009E5847"/>
    <w:rsid w:val="00A1047E"/>
    <w:rsid w:val="00A12025"/>
    <w:rsid w:val="00A25114"/>
    <w:rsid w:val="00A35A6D"/>
    <w:rsid w:val="00A43BA6"/>
    <w:rsid w:val="00A54905"/>
    <w:rsid w:val="00A54949"/>
    <w:rsid w:val="00A921F4"/>
    <w:rsid w:val="00A97EB8"/>
    <w:rsid w:val="00AA1101"/>
    <w:rsid w:val="00AC0B8F"/>
    <w:rsid w:val="00AF2E3C"/>
    <w:rsid w:val="00B10B06"/>
    <w:rsid w:val="00B12D81"/>
    <w:rsid w:val="00B160E2"/>
    <w:rsid w:val="00B16D70"/>
    <w:rsid w:val="00B16DBE"/>
    <w:rsid w:val="00B45C3B"/>
    <w:rsid w:val="00B57073"/>
    <w:rsid w:val="00B64A70"/>
    <w:rsid w:val="00B84F00"/>
    <w:rsid w:val="00B9165E"/>
    <w:rsid w:val="00BA0586"/>
    <w:rsid w:val="00BB1318"/>
    <w:rsid w:val="00BD10DC"/>
    <w:rsid w:val="00BE1FDF"/>
    <w:rsid w:val="00BF76BE"/>
    <w:rsid w:val="00C10A0A"/>
    <w:rsid w:val="00C2189D"/>
    <w:rsid w:val="00C22668"/>
    <w:rsid w:val="00C22D0F"/>
    <w:rsid w:val="00C26117"/>
    <w:rsid w:val="00C37901"/>
    <w:rsid w:val="00C6329B"/>
    <w:rsid w:val="00C6427B"/>
    <w:rsid w:val="00C72095"/>
    <w:rsid w:val="00C751E3"/>
    <w:rsid w:val="00C7618E"/>
    <w:rsid w:val="00C8162C"/>
    <w:rsid w:val="00C86486"/>
    <w:rsid w:val="00C86DEB"/>
    <w:rsid w:val="00C912CA"/>
    <w:rsid w:val="00C919F8"/>
    <w:rsid w:val="00CA51AC"/>
    <w:rsid w:val="00CB5F8A"/>
    <w:rsid w:val="00CC3A7E"/>
    <w:rsid w:val="00CE03E5"/>
    <w:rsid w:val="00D157F5"/>
    <w:rsid w:val="00D21C76"/>
    <w:rsid w:val="00D24C03"/>
    <w:rsid w:val="00D33BE2"/>
    <w:rsid w:val="00D4091C"/>
    <w:rsid w:val="00D415E9"/>
    <w:rsid w:val="00D4789B"/>
    <w:rsid w:val="00D576BB"/>
    <w:rsid w:val="00D634E8"/>
    <w:rsid w:val="00DA13A9"/>
    <w:rsid w:val="00DA6BFA"/>
    <w:rsid w:val="00DC67CF"/>
    <w:rsid w:val="00DE170B"/>
    <w:rsid w:val="00DE2091"/>
    <w:rsid w:val="00DE3FC3"/>
    <w:rsid w:val="00DF5997"/>
    <w:rsid w:val="00E00E9F"/>
    <w:rsid w:val="00E220D3"/>
    <w:rsid w:val="00E31713"/>
    <w:rsid w:val="00E356C6"/>
    <w:rsid w:val="00E37502"/>
    <w:rsid w:val="00E45D74"/>
    <w:rsid w:val="00E71570"/>
    <w:rsid w:val="00E95D0E"/>
    <w:rsid w:val="00EA65C3"/>
    <w:rsid w:val="00EB04FE"/>
    <w:rsid w:val="00EB27EF"/>
    <w:rsid w:val="00EB6476"/>
    <w:rsid w:val="00EC6521"/>
    <w:rsid w:val="00ED3A7F"/>
    <w:rsid w:val="00ED4D71"/>
    <w:rsid w:val="00ED743C"/>
    <w:rsid w:val="00EE1144"/>
    <w:rsid w:val="00EE569E"/>
    <w:rsid w:val="00EF12FE"/>
    <w:rsid w:val="00F07AAC"/>
    <w:rsid w:val="00F15BFA"/>
    <w:rsid w:val="00F23696"/>
    <w:rsid w:val="00F34045"/>
    <w:rsid w:val="00F37FDA"/>
    <w:rsid w:val="00FA5C19"/>
    <w:rsid w:val="00FA6CCA"/>
    <w:rsid w:val="00FB4826"/>
    <w:rsid w:val="00FD1BB2"/>
    <w:rsid w:val="00FD4FDC"/>
    <w:rsid w:val="00FE074D"/>
    <w:rsid w:val="00FE26C0"/>
    <w:rsid w:val="00FE596C"/>
    <w:rsid w:val="00FF3F0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A630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6386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C4F3C"/>
    <w:pPr>
      <w:ind w:left="720"/>
      <w:contextualSpacing/>
    </w:pPr>
  </w:style>
  <w:style w:type="paragraph" w:customStyle="1" w:styleId="Default">
    <w:name w:val="Default"/>
    <w:rsid w:val="007D21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18345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Daiva Žukienė</cp:lastModifiedBy>
  <cp:revision>2</cp:revision>
  <dcterms:created xsi:type="dcterms:W3CDTF">2026-04-22T07:09:00Z</dcterms:created>
  <dcterms:modified xsi:type="dcterms:W3CDTF">2026-04-22T07:09:00Z</dcterms:modified>
</cp:coreProperties>
</file>