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2FC1" w14:textId="6C5FC956" w:rsidR="00363BCB" w:rsidRPr="00363BCB" w:rsidRDefault="00363BCB" w:rsidP="00363BCB">
      <w:pPr>
        <w:widowControl w:val="0"/>
        <w:tabs>
          <w:tab w:val="left" w:pos="7571"/>
        </w:tabs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363BC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RITAR</w:t>
      </w:r>
      <w:r w:rsidRPr="00363BC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TA</w:t>
      </w:r>
    </w:p>
    <w:p w14:paraId="21F7895B" w14:textId="77777777" w:rsidR="00363BCB" w:rsidRDefault="00363BCB" w:rsidP="00363BCB">
      <w:pPr>
        <w:widowControl w:val="0"/>
        <w:tabs>
          <w:tab w:val="left" w:pos="7571"/>
        </w:tabs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363BC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Šiaulių regiono plėtros tarybos</w:t>
      </w:r>
    </w:p>
    <w:p w14:paraId="295D3B24" w14:textId="436D0ED5" w:rsidR="00363BCB" w:rsidRPr="00363BCB" w:rsidRDefault="00363BCB" w:rsidP="00363BCB">
      <w:pPr>
        <w:widowControl w:val="0"/>
        <w:tabs>
          <w:tab w:val="left" w:pos="7571"/>
        </w:tabs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363BC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Kolegijos </w:t>
      </w:r>
      <w:r w:rsidRPr="00363BC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202</w:t>
      </w:r>
      <w:r w:rsidR="0091272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6</w:t>
      </w:r>
      <w:r w:rsidRPr="00363BC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m. </w:t>
      </w:r>
      <w:r w:rsidR="0091272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kov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o</w:t>
      </w:r>
      <w:r w:rsidRPr="00363BC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93255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24</w:t>
      </w:r>
      <w:r w:rsidR="0091272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363BC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d.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posėdyje</w:t>
      </w:r>
    </w:p>
    <w:p w14:paraId="2DF4F8F6" w14:textId="77777777" w:rsidR="00363BCB" w:rsidRPr="00363BCB" w:rsidRDefault="00363BCB" w:rsidP="00363BCB">
      <w:pPr>
        <w:widowControl w:val="0"/>
        <w:tabs>
          <w:tab w:val="left" w:pos="75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5DD01C8" w14:textId="749C5EFD" w:rsidR="00363BCB" w:rsidRPr="00363BCB" w:rsidRDefault="00363BCB" w:rsidP="00363BCB">
      <w:pPr>
        <w:widowControl w:val="0"/>
        <w:tabs>
          <w:tab w:val="left" w:pos="75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63BC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ŠIAULIŲ REGIONO PLĖTROS TARYBOS</w:t>
      </w:r>
    </w:p>
    <w:p w14:paraId="7A9A3530" w14:textId="761C92EC" w:rsidR="00363BCB" w:rsidRPr="00363BCB" w:rsidRDefault="00363BCB" w:rsidP="00363BCB">
      <w:pPr>
        <w:widowControl w:val="0"/>
        <w:tabs>
          <w:tab w:val="left" w:pos="75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63BC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2024–2026 METŲ KORUPCIJOS PREVENCIJOS VEIKSMŲ PLAN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 202</w:t>
      </w:r>
      <w:r w:rsidR="0091272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M. </w:t>
      </w:r>
      <w:r w:rsidR="00EB039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ĮGYVENDINI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MO ATASKAITA</w:t>
      </w:r>
    </w:p>
    <w:p w14:paraId="0234D64D" w14:textId="77777777" w:rsidR="004B5915" w:rsidRPr="004B5915" w:rsidRDefault="004B5915" w:rsidP="004B5915">
      <w:pPr>
        <w:widowControl w:val="0"/>
        <w:tabs>
          <w:tab w:val="left" w:pos="7571"/>
        </w:tabs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Lentelstinklelis1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59"/>
        <w:gridCol w:w="1842"/>
        <w:gridCol w:w="1134"/>
        <w:gridCol w:w="2125"/>
        <w:gridCol w:w="2131"/>
        <w:gridCol w:w="4394"/>
      </w:tblGrid>
      <w:tr w:rsidR="004B5915" w:rsidRPr="004B5915" w14:paraId="2E233056" w14:textId="7B161FFC" w:rsidTr="004B5915">
        <w:tc>
          <w:tcPr>
            <w:tcW w:w="3259" w:type="dxa"/>
          </w:tcPr>
          <w:p w14:paraId="5CD47000" w14:textId="77777777" w:rsidR="004B5915" w:rsidRPr="004B5915" w:rsidRDefault="004B5915" w:rsidP="004B591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Priemonė</w:t>
            </w:r>
          </w:p>
        </w:tc>
        <w:tc>
          <w:tcPr>
            <w:tcW w:w="1842" w:type="dxa"/>
          </w:tcPr>
          <w:p w14:paraId="5CD99813" w14:textId="77777777" w:rsidR="004B5915" w:rsidRPr="004B5915" w:rsidRDefault="004B5915" w:rsidP="004B591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Vykdytojas</w:t>
            </w:r>
          </w:p>
        </w:tc>
        <w:tc>
          <w:tcPr>
            <w:tcW w:w="1134" w:type="dxa"/>
          </w:tcPr>
          <w:p w14:paraId="22ABF635" w14:textId="77777777" w:rsidR="004B5915" w:rsidRPr="004B5915" w:rsidRDefault="004B5915" w:rsidP="004B591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Įvykdymo terminas</w:t>
            </w:r>
          </w:p>
        </w:tc>
        <w:tc>
          <w:tcPr>
            <w:tcW w:w="2125" w:type="dxa"/>
          </w:tcPr>
          <w:p w14:paraId="3A1118E9" w14:textId="77777777" w:rsidR="004B5915" w:rsidRPr="004B5915" w:rsidRDefault="004B5915" w:rsidP="004B591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Laukiamas rezultatas</w:t>
            </w:r>
          </w:p>
        </w:tc>
        <w:tc>
          <w:tcPr>
            <w:tcW w:w="2131" w:type="dxa"/>
          </w:tcPr>
          <w:p w14:paraId="3CF56B53" w14:textId="77777777" w:rsidR="004B5915" w:rsidRPr="004B5915" w:rsidRDefault="004B5915" w:rsidP="004B591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Rezultato vertinimo kriterijai</w:t>
            </w:r>
          </w:p>
        </w:tc>
        <w:tc>
          <w:tcPr>
            <w:tcW w:w="4394" w:type="dxa"/>
          </w:tcPr>
          <w:p w14:paraId="1AD5F179" w14:textId="5BC00FBB" w:rsidR="004B5915" w:rsidRPr="004B5915" w:rsidRDefault="004B5915" w:rsidP="004B591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Priemonės įgyvendinimo rezultatas ir pagrindimas</w:t>
            </w:r>
          </w:p>
        </w:tc>
      </w:tr>
      <w:tr w:rsidR="004B5915" w:rsidRPr="004B5915" w14:paraId="4729CB97" w14:textId="77777777" w:rsidTr="004B5915">
        <w:trPr>
          <w:trHeight w:val="180"/>
        </w:trPr>
        <w:tc>
          <w:tcPr>
            <w:tcW w:w="14885" w:type="dxa"/>
            <w:gridSpan w:val="6"/>
          </w:tcPr>
          <w:p w14:paraId="17021D46" w14:textId="77777777" w:rsidR="004B5915" w:rsidRPr="004B5915" w:rsidRDefault="004B5915" w:rsidP="004B591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uždavinys: atlikti korupcijos prevencijos veiksmų antikorupcinį vertinimą</w:t>
            </w:r>
          </w:p>
        </w:tc>
      </w:tr>
      <w:tr w:rsidR="004B5915" w:rsidRPr="004B5915" w14:paraId="729EB439" w14:textId="6F56C809" w:rsidTr="004B5915">
        <w:trPr>
          <w:trHeight w:val="970"/>
        </w:trPr>
        <w:tc>
          <w:tcPr>
            <w:tcW w:w="3259" w:type="dxa"/>
          </w:tcPr>
          <w:p w14:paraId="29742C6F" w14:textId="77777777" w:rsidR="004B5915" w:rsidRPr="004B5915" w:rsidRDefault="004B5915" w:rsidP="004B5915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</w:rPr>
            </w:pPr>
            <w:r w:rsidRPr="004B59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1.1. Kolegijos posėdyje pristatyti Šiaulių regiono plėtros tarybos ataskaitą apie korupcijos prevencijos priemonių įgyvendinimą </w:t>
            </w:r>
          </w:p>
        </w:tc>
        <w:tc>
          <w:tcPr>
            <w:tcW w:w="1842" w:type="dxa"/>
          </w:tcPr>
          <w:p w14:paraId="68D96A39" w14:textId="77777777" w:rsidR="004B5915" w:rsidRPr="004B5915" w:rsidRDefault="004B5915" w:rsidP="004B5915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</w:rPr>
            </w:pPr>
            <w:r w:rsidRPr="004B59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Administracijos direktorius </w:t>
            </w:r>
          </w:p>
        </w:tc>
        <w:tc>
          <w:tcPr>
            <w:tcW w:w="1134" w:type="dxa"/>
          </w:tcPr>
          <w:p w14:paraId="77CD0CFB" w14:textId="77777777" w:rsidR="004B5915" w:rsidRPr="004B5915" w:rsidRDefault="004B5915" w:rsidP="004B5915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</w:rPr>
            </w:pPr>
            <w:r w:rsidRPr="004B59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Kasmet iki kovo 31 d. </w:t>
            </w:r>
          </w:p>
        </w:tc>
        <w:tc>
          <w:tcPr>
            <w:tcW w:w="2125" w:type="dxa"/>
          </w:tcPr>
          <w:p w14:paraId="1077F831" w14:textId="77777777" w:rsidR="004B5915" w:rsidRPr="004B5915" w:rsidRDefault="004B5915" w:rsidP="004B5915">
            <w:pPr>
              <w:autoSpaceDE w:val="0"/>
              <w:autoSpaceDN w:val="0"/>
              <w:rPr>
                <w:rFonts w:ascii="Calibri" w:eastAsia="Calibri" w:hAnsi="Calibri" w:cs="Times New Roman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Kolegijos posėdyje pristatyta ataskaita</w:t>
            </w:r>
          </w:p>
        </w:tc>
        <w:tc>
          <w:tcPr>
            <w:tcW w:w="2131" w:type="dxa"/>
          </w:tcPr>
          <w:p w14:paraId="65791EC7" w14:textId="77777777" w:rsidR="004B5915" w:rsidRPr="004B5915" w:rsidRDefault="004B5915" w:rsidP="004B5915">
            <w:pPr>
              <w:autoSpaceDE w:val="0"/>
              <w:autoSpaceDN w:val="0"/>
              <w:rPr>
                <w:rFonts w:ascii="Calibri" w:eastAsia="Calibri" w:hAnsi="Calibri" w:cs="Times New Roman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Gautas kolegijos pritarimas pristatytai ataskaitai</w:t>
            </w:r>
          </w:p>
        </w:tc>
        <w:tc>
          <w:tcPr>
            <w:tcW w:w="4394" w:type="dxa"/>
          </w:tcPr>
          <w:p w14:paraId="6F44E54C" w14:textId="008062BA" w:rsidR="004B5915" w:rsidRPr="004B5915" w:rsidRDefault="00EB0393" w:rsidP="00EB0393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Ataskaita pristatyta </w:t>
            </w:r>
            <w:r w:rsidRPr="00EB0393">
              <w:rPr>
                <w:rFonts w:ascii="Times New Roman" w:eastAsia="Calibri" w:hAnsi="Times New Roman" w:cs="Times New Roman"/>
                <w:sz w:val="20"/>
                <w:szCs w:val="20"/>
              </w:rPr>
              <w:t>Šiaulių regiono plėtros tarybos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B03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Kolegijos 202</w:t>
            </w:r>
            <w:r w:rsidR="0091272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EB03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m. </w:t>
            </w:r>
            <w:r w:rsidR="009127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kovo </w:t>
            </w:r>
            <w:r w:rsidR="006F7D13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9127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B0393">
              <w:rPr>
                <w:rFonts w:ascii="Times New Roman" w:eastAsia="Calibri" w:hAnsi="Times New Roman" w:cs="Times New Roman"/>
                <w:sz w:val="20"/>
                <w:szCs w:val="20"/>
              </w:rPr>
              <w:t>d. posėdyje</w:t>
            </w:r>
            <w:r w:rsidR="009D733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4B5915" w:rsidRPr="004B5915" w14:paraId="00374B38" w14:textId="532C5D43" w:rsidTr="004B5915">
        <w:tc>
          <w:tcPr>
            <w:tcW w:w="3259" w:type="dxa"/>
          </w:tcPr>
          <w:p w14:paraId="4D74D92E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1.2. Identifikuoti korupcijos rizikos veiksnius Šiaulių regiono plėtros tarybos veiklos srityse, kuriose egzistuoja korupcijos pasireiškimo tikimybė, ir nustatyti korupcijos rizikos veiksnių mažinimo priemones</w:t>
            </w:r>
          </w:p>
        </w:tc>
        <w:tc>
          <w:tcPr>
            <w:tcW w:w="1842" w:type="dxa"/>
          </w:tcPr>
          <w:p w14:paraId="16BC97E6" w14:textId="77777777" w:rsidR="004B5915" w:rsidRPr="004B5915" w:rsidRDefault="004B5915" w:rsidP="004B59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Administracijos direktorius; administracijos darbuotojas, atsakingas už korupcijos prevenciją </w:t>
            </w:r>
          </w:p>
        </w:tc>
        <w:tc>
          <w:tcPr>
            <w:tcW w:w="1134" w:type="dxa"/>
          </w:tcPr>
          <w:p w14:paraId="5C1C1264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Nuolat, pagal poreikį</w:t>
            </w:r>
          </w:p>
        </w:tc>
        <w:tc>
          <w:tcPr>
            <w:tcW w:w="2125" w:type="dxa"/>
          </w:tcPr>
          <w:p w14:paraId="3BFA7D3D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Laiku identifikuoti korupcijos rizikos veiksniai ir imtasi reikiamų priemonių nustatytiems korupcijos rizikų veiksniams šalinti</w:t>
            </w:r>
          </w:p>
        </w:tc>
        <w:tc>
          <w:tcPr>
            <w:tcW w:w="2131" w:type="dxa"/>
          </w:tcPr>
          <w:p w14:paraId="13A3711E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Atliktas detalus korupcijos rizikos vertinimas, pagrįstos priemonės korupcijos rizikų veiksniams šalinti: ne mažiau kaip 1 vertinimas per metus</w:t>
            </w:r>
          </w:p>
        </w:tc>
        <w:tc>
          <w:tcPr>
            <w:tcW w:w="4394" w:type="dxa"/>
          </w:tcPr>
          <w:p w14:paraId="6802AB61" w14:textId="50BAF3C6" w:rsidR="004B5915" w:rsidRPr="004B5915" w:rsidRDefault="003E319F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31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Korupcijos pasireiškimo tikimybės nustatymas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2024 m. lapkričio–gruodžio mėn. </w:t>
            </w:r>
            <w:r w:rsidRPr="003E319F">
              <w:rPr>
                <w:rFonts w:ascii="Times New Roman" w:eastAsia="Calibri" w:hAnsi="Times New Roman" w:cs="Times New Roman"/>
                <w:sz w:val="20"/>
                <w:szCs w:val="20"/>
              </w:rPr>
              <w:t>atliktas Šiaulių regiono plėtros tarybo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 kolegijos </w:t>
            </w:r>
            <w:r w:rsidRPr="003E319F">
              <w:rPr>
                <w:rFonts w:ascii="Times New Roman" w:eastAsia="Calibri" w:hAnsi="Times New Roman" w:cs="Times New Roman"/>
                <w:sz w:val="20"/>
                <w:szCs w:val="20"/>
              </w:rPr>
              <w:t>patariamosios partnerių grupės veiklos srityje.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128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Nagrinėtos </w:t>
            </w:r>
            <w:r w:rsidR="0041287F" w:rsidRPr="0041287F">
              <w:rPr>
                <w:rFonts w:ascii="Times New Roman" w:eastAsia="Calibri" w:hAnsi="Times New Roman" w:cs="Times New Roman"/>
                <w:sz w:val="20"/>
                <w:szCs w:val="20"/>
              </w:rPr>
              <w:t>dvi korupcijos rizikos</w:t>
            </w:r>
            <w:r w:rsidR="004128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kurioms nustatytas </w:t>
            </w:r>
            <w:r w:rsidR="0041287F" w:rsidRPr="0041287F">
              <w:rPr>
                <w:rFonts w:ascii="Times New Roman" w:eastAsia="Calibri" w:hAnsi="Times New Roman" w:cs="Times New Roman"/>
                <w:sz w:val="20"/>
                <w:szCs w:val="20"/>
              </w:rPr>
              <w:t>žem</w:t>
            </w:r>
            <w:r w:rsidR="004128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as </w:t>
            </w:r>
            <w:r w:rsidR="0041287F" w:rsidRPr="0041287F">
              <w:rPr>
                <w:rFonts w:ascii="Times New Roman" w:eastAsia="Calibri" w:hAnsi="Times New Roman" w:cs="Times New Roman"/>
                <w:sz w:val="20"/>
                <w:szCs w:val="20"/>
              </w:rPr>
              <w:t>rizikingumo lyg</w:t>
            </w:r>
            <w:r w:rsidR="0041287F">
              <w:rPr>
                <w:rFonts w:ascii="Times New Roman" w:eastAsia="Calibri" w:hAnsi="Times New Roman" w:cs="Times New Roman"/>
                <w:sz w:val="20"/>
                <w:szCs w:val="20"/>
              </w:rPr>
              <w:t>is ir nereikšmingas rizikos poveikis</w:t>
            </w:r>
            <w:r w:rsidR="00F8453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128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84533" w:rsidRPr="00F84533">
              <w:rPr>
                <w:rFonts w:ascii="Times New Roman" w:eastAsia="Calibri" w:hAnsi="Times New Roman" w:cs="Times New Roman"/>
                <w:sz w:val="20"/>
                <w:szCs w:val="20"/>
              </w:rPr>
              <w:t>Korupcijos pasireiškimo tikimybės nustatym</w:t>
            </w:r>
            <w:r w:rsidR="00F845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 rezultatai patvirtinti </w:t>
            </w:r>
            <w:r w:rsidR="00F84533" w:rsidRPr="00F84533">
              <w:rPr>
                <w:rFonts w:ascii="Times New Roman" w:eastAsia="Calibri" w:hAnsi="Times New Roman" w:cs="Times New Roman"/>
                <w:sz w:val="20"/>
                <w:szCs w:val="20"/>
              </w:rPr>
              <w:t>2025 m. vasario 24 d. Šiaulių regiono plėtros tarybos administracijos direktoriaus įsakymu Nr. ŠR-V-2</w:t>
            </w:r>
            <w:r w:rsidR="00F845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(žr. adresu </w:t>
            </w:r>
            <w:r w:rsidR="00F84533" w:rsidRPr="00F84533">
              <w:rPr>
                <w:rFonts w:ascii="Times New Roman" w:eastAsia="Calibri" w:hAnsi="Times New Roman" w:cs="Times New Roman"/>
                <w:sz w:val="20"/>
                <w:szCs w:val="20"/>
              </w:rPr>
              <w:t>https://siauliuregionas.lt/administracine-informacija-2/korupcijos-prevencija/</w:t>
            </w:r>
            <w:r w:rsidR="00F84533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</w:tc>
      </w:tr>
      <w:tr w:rsidR="004B5915" w:rsidRPr="004B5915" w14:paraId="75137040" w14:textId="17BF4E09" w:rsidTr="004B5915">
        <w:tc>
          <w:tcPr>
            <w:tcW w:w="3259" w:type="dxa"/>
          </w:tcPr>
          <w:p w14:paraId="644D431D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1.3. Lietuvos Respublikos korupcijos prevencijos įstatymo 8 straipsnio 1 dalyje nustatytais atvejais atlikti teisės aktų projektų antikorupcinį vertinimą</w:t>
            </w:r>
          </w:p>
        </w:tc>
        <w:tc>
          <w:tcPr>
            <w:tcW w:w="1842" w:type="dxa"/>
          </w:tcPr>
          <w:p w14:paraId="031489FB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Administracijos darbuotojas, atliekantis antikorupcinį teisės aktų vertinimą</w:t>
            </w:r>
          </w:p>
        </w:tc>
        <w:tc>
          <w:tcPr>
            <w:tcW w:w="1134" w:type="dxa"/>
          </w:tcPr>
          <w:p w14:paraId="45FE06E6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Nuolat, prieš priimant teisės aktą</w:t>
            </w:r>
          </w:p>
        </w:tc>
        <w:tc>
          <w:tcPr>
            <w:tcW w:w="2125" w:type="dxa"/>
          </w:tcPr>
          <w:p w14:paraId="3D5B7F8C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Atlikti antikorupciniai teisės aktų vertinimai</w:t>
            </w:r>
          </w:p>
        </w:tc>
        <w:tc>
          <w:tcPr>
            <w:tcW w:w="2131" w:type="dxa"/>
          </w:tcPr>
          <w:p w14:paraId="7A38EE1B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Antikorupciniu požiūriu įvertintų teisės aktų kiekis nuo privalomų vertinti teisės aktų skaičiaus (proc.)</w:t>
            </w:r>
          </w:p>
        </w:tc>
        <w:tc>
          <w:tcPr>
            <w:tcW w:w="4394" w:type="dxa"/>
          </w:tcPr>
          <w:p w14:paraId="21215E07" w14:textId="12950EF8" w:rsidR="004B5915" w:rsidRPr="00070150" w:rsidRDefault="009D7333" w:rsidP="007E6ABE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</w:t>
            </w:r>
            <w:r w:rsidRPr="009D7333">
              <w:rPr>
                <w:rFonts w:ascii="Times New Roman" w:eastAsia="Calibri" w:hAnsi="Times New Roman" w:cs="Times New Roman"/>
                <w:sz w:val="20"/>
                <w:szCs w:val="20"/>
              </w:rPr>
              <w:t>eisės aktų projektų antikorupcin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is</w:t>
            </w:r>
            <w:r w:rsidRPr="009D73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vertinim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as 202</w:t>
            </w:r>
            <w:r w:rsidR="0091272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m. nebuvo atliekamas.</w:t>
            </w:r>
            <w:r w:rsidR="007E6A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B5915" w:rsidRPr="004B5915" w14:paraId="092682FD" w14:textId="5CCAA9EB" w:rsidTr="004B5915">
        <w:trPr>
          <w:trHeight w:val="420"/>
        </w:trPr>
        <w:tc>
          <w:tcPr>
            <w:tcW w:w="3259" w:type="dxa"/>
          </w:tcPr>
          <w:p w14:paraId="05C63D91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1.4. Tobulinti darbų, prekių ir paslaugų techninių dokumentų parengimą</w:t>
            </w:r>
          </w:p>
        </w:tc>
        <w:tc>
          <w:tcPr>
            <w:tcW w:w="1842" w:type="dxa"/>
          </w:tcPr>
          <w:p w14:paraId="21348FF6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Administracijos darbuotojas, atsakingas už viešuosius pirkimus </w:t>
            </w:r>
          </w:p>
        </w:tc>
        <w:tc>
          <w:tcPr>
            <w:tcW w:w="1134" w:type="dxa"/>
          </w:tcPr>
          <w:p w14:paraId="78839141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Nuolat, pagal poreikį</w:t>
            </w:r>
          </w:p>
        </w:tc>
        <w:tc>
          <w:tcPr>
            <w:tcW w:w="2125" w:type="dxa"/>
          </w:tcPr>
          <w:p w14:paraId="6A684FFD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Patobulintas darbų, prekių ir paslaugų techninių dokumentų parengimas </w:t>
            </w:r>
          </w:p>
        </w:tc>
        <w:tc>
          <w:tcPr>
            <w:tcW w:w="2131" w:type="dxa"/>
          </w:tcPr>
          <w:p w14:paraId="3ED193F9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Be pagrįstų pretenzijų įvykdytų pirkimų procentas nuo visų pirkimų</w:t>
            </w:r>
          </w:p>
        </w:tc>
        <w:tc>
          <w:tcPr>
            <w:tcW w:w="4394" w:type="dxa"/>
          </w:tcPr>
          <w:p w14:paraId="4A4E49C5" w14:textId="77777777" w:rsidR="004B5915" w:rsidRDefault="00931E72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 proc.</w:t>
            </w:r>
          </w:p>
          <w:p w14:paraId="5D39470F" w14:textId="78D6296A" w:rsidR="00070150" w:rsidRDefault="00931E72" w:rsidP="007E6ABE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Visi viešieji pirkimai įvykdyti be pagrįstų pretenzijų. </w:t>
            </w:r>
            <w:r w:rsidR="000B6DC4" w:rsidRPr="000B6DC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91272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0B6DC4" w:rsidRPr="000B6D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m. buvo</w:t>
            </w:r>
            <w:r w:rsidR="00070150" w:rsidRPr="000B6D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patobulint</w:t>
            </w:r>
            <w:r w:rsidR="000B6DC4" w:rsidRPr="000B6DC4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070150" w:rsidRPr="000B6D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B6DC4" w:rsidRPr="000B6D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Šiaulių regiono plėtros tarybos administracijos </w:t>
            </w:r>
            <w:r w:rsidR="00070150" w:rsidRPr="000B6DC4">
              <w:rPr>
                <w:rFonts w:ascii="Times New Roman" w:eastAsia="Calibri" w:hAnsi="Times New Roman" w:cs="Times New Roman"/>
                <w:sz w:val="20"/>
                <w:szCs w:val="20"/>
              </w:rPr>
              <w:t>dokument</w:t>
            </w:r>
            <w:r w:rsidR="000B6DC4" w:rsidRPr="000B6DC4">
              <w:rPr>
                <w:rFonts w:ascii="Times New Roman" w:eastAsia="Calibri" w:hAnsi="Times New Roman" w:cs="Times New Roman"/>
                <w:sz w:val="20"/>
                <w:szCs w:val="20"/>
              </w:rPr>
              <w:t>ai.</w:t>
            </w:r>
          </w:p>
          <w:p w14:paraId="2EAE7ADA" w14:textId="59D73D6A" w:rsidR="007E6ABE" w:rsidRDefault="001D4B54" w:rsidP="007E6ABE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Parengtas ir 2025 m. </w:t>
            </w:r>
            <w:r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vasario </w:t>
            </w:r>
            <w:r w:rsidR="00AE34B1"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d. Šiaulių regiono plėtros tarybos administracijos direktoriaus </w:t>
            </w:r>
            <w:r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įsakymu Nr. ŠR-</w:t>
            </w:r>
            <w:r w:rsidR="00AE34B1"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AE34B1"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patvirtintas </w:t>
            </w:r>
            <w:r w:rsidRPr="001D4B5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Šiaulių regiono plėtros tarybos antikorupcinio elgesio kodeksas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598C5607" w14:textId="1244A80E" w:rsidR="00181D8B" w:rsidRPr="00AE34B1" w:rsidRDefault="00181D8B" w:rsidP="00181D8B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Parengtas ir </w:t>
            </w:r>
            <w:r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2025 m. vasario </w:t>
            </w:r>
            <w:r w:rsidR="00AE34B1"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d. Šiaulių regiono plėtros tarybos administracijos direktoriaus įsakymu Nr. ŠR-</w:t>
            </w:r>
            <w:r w:rsidR="00AE34B1"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AE34B1"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patvirtintas </w:t>
            </w:r>
            <w:r w:rsidRPr="00AE34B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Už korupcijai atsparios aplinkos kūrimą atsakingo asmens </w:t>
            </w:r>
          </w:p>
          <w:p w14:paraId="65E57948" w14:textId="56D5AB33" w:rsidR="00181D8B" w:rsidRPr="00181D8B" w:rsidRDefault="00181D8B" w:rsidP="00AE34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34B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Šiaulių regiono plėtros taryboje pareigybės aprašymas. </w:t>
            </w:r>
            <w:r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2025 m. vasario </w:t>
            </w:r>
            <w:r w:rsidR="00AE34B1"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d. Šiaulių regiono plėtros tarybos administracijos direktoriaus įsakymu Nr. ŠR-</w:t>
            </w:r>
            <w:r w:rsidR="00AE34B1"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AE34B1"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už </w:t>
            </w:r>
            <w:r w:rsidRPr="00181D8B">
              <w:rPr>
                <w:rFonts w:ascii="Times New Roman" w:eastAsia="Calibri" w:hAnsi="Times New Roman" w:cs="Times New Roman"/>
                <w:sz w:val="20"/>
                <w:szCs w:val="20"/>
              </w:rPr>
              <w:t>korupcijai atsparios aplinkos kūrimą atsakingu asmeniu Šiaulių regiono plėtros taryboje paskirtas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81D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Šiaulių regiono plėtros tarybos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ekspertas Teodoras Tamošiūnas</w:t>
            </w:r>
            <w:r w:rsidR="00292E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92E0A" w:rsidRPr="00292E0A">
              <w:rPr>
                <w:rFonts w:ascii="Times New Roman" w:eastAsia="Calibri" w:hAnsi="Times New Roman" w:cs="Times New Roman"/>
                <w:sz w:val="20"/>
                <w:szCs w:val="20"/>
              </w:rPr>
              <w:t>(žr. adresu https://siauliuregionas.lt/administracine-informacija-2/korupcijos-prevencija/)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B5915" w:rsidRPr="004B5915" w14:paraId="1B8CBC6E" w14:textId="77777777" w:rsidTr="004B5915">
        <w:trPr>
          <w:trHeight w:val="130"/>
        </w:trPr>
        <w:tc>
          <w:tcPr>
            <w:tcW w:w="14885" w:type="dxa"/>
            <w:gridSpan w:val="6"/>
          </w:tcPr>
          <w:p w14:paraId="257BDAFC" w14:textId="77777777" w:rsidR="004B5915" w:rsidRPr="004B5915" w:rsidRDefault="004B5915" w:rsidP="004B5915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 uždavinys: viešinti Šiaulių regiono plėtros tarybos veiklas ir įtraukti visuomenę į korupcijos prevenciją</w:t>
            </w:r>
          </w:p>
        </w:tc>
      </w:tr>
      <w:tr w:rsidR="004B5915" w:rsidRPr="004B5915" w14:paraId="6339500D" w14:textId="37A839DA" w:rsidTr="004B5915">
        <w:trPr>
          <w:trHeight w:val="1010"/>
        </w:trPr>
        <w:tc>
          <w:tcPr>
            <w:tcW w:w="3259" w:type="dxa"/>
          </w:tcPr>
          <w:p w14:paraId="01259B5C" w14:textId="77777777" w:rsidR="004B5915" w:rsidRPr="004B5915" w:rsidRDefault="004B5915" w:rsidP="004B5915">
            <w:pPr>
              <w:autoSpaceDE w:val="0"/>
              <w:autoSpaceDN w:val="0"/>
              <w:rPr>
                <w:rFonts w:ascii="Calibri" w:eastAsia="Calibri" w:hAnsi="Calibri" w:cs="Times New Roman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2.1. Skelbti informaciją apie Šiaulių regiono plėtros tarybos priimtus teisės aktus Šiaulių regiono plėtros tarybos interneto svetainėje</w:t>
            </w:r>
          </w:p>
        </w:tc>
        <w:tc>
          <w:tcPr>
            <w:tcW w:w="1842" w:type="dxa"/>
          </w:tcPr>
          <w:p w14:paraId="1AC5D245" w14:textId="77777777" w:rsidR="004B5915" w:rsidRPr="004B5915" w:rsidRDefault="004B5915" w:rsidP="004B5915">
            <w:pPr>
              <w:autoSpaceDE w:val="0"/>
              <w:autoSpaceDN w:val="0"/>
              <w:rPr>
                <w:rFonts w:ascii="Calibri" w:eastAsia="Calibri" w:hAnsi="Calibri" w:cs="Times New Roman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Administracijos darbuotojas, atsakingas už teisės aktų paskelbimą</w:t>
            </w:r>
          </w:p>
        </w:tc>
        <w:tc>
          <w:tcPr>
            <w:tcW w:w="1134" w:type="dxa"/>
          </w:tcPr>
          <w:p w14:paraId="32205D3C" w14:textId="77777777" w:rsidR="004B5915" w:rsidRPr="004B5915" w:rsidRDefault="004B5915" w:rsidP="004B5915">
            <w:pPr>
              <w:autoSpaceDE w:val="0"/>
              <w:autoSpaceDN w:val="0"/>
              <w:rPr>
                <w:rFonts w:ascii="Calibri" w:eastAsia="Calibri" w:hAnsi="Calibri" w:cs="Times New Roman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Nuolat, pagal poreikį</w:t>
            </w:r>
          </w:p>
        </w:tc>
        <w:tc>
          <w:tcPr>
            <w:tcW w:w="2125" w:type="dxa"/>
          </w:tcPr>
          <w:p w14:paraId="1EA5A6AC" w14:textId="77777777" w:rsidR="004B5915" w:rsidRPr="004B5915" w:rsidRDefault="004B5915" w:rsidP="004B5915">
            <w:pPr>
              <w:autoSpaceDE w:val="0"/>
              <w:autoSpaceDN w:val="0"/>
              <w:rPr>
                <w:rFonts w:ascii="Calibri" w:eastAsia="Calibri" w:hAnsi="Calibri" w:cs="Times New Roman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Paviešinti teisės aktai</w:t>
            </w:r>
          </w:p>
        </w:tc>
        <w:tc>
          <w:tcPr>
            <w:tcW w:w="2131" w:type="dxa"/>
          </w:tcPr>
          <w:p w14:paraId="53F7C47A" w14:textId="77777777" w:rsidR="004B5915" w:rsidRPr="004B5915" w:rsidRDefault="004B5915" w:rsidP="004B5915">
            <w:pPr>
              <w:autoSpaceDE w:val="0"/>
              <w:autoSpaceDN w:val="0"/>
              <w:rPr>
                <w:rFonts w:ascii="Calibri" w:eastAsia="Calibri" w:hAnsi="Calibri" w:cs="Times New Roman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Priimtų ir paskelbtų teisės aktų skaičiaus santykis (proc.).</w:t>
            </w:r>
          </w:p>
        </w:tc>
        <w:tc>
          <w:tcPr>
            <w:tcW w:w="4394" w:type="dxa"/>
          </w:tcPr>
          <w:p w14:paraId="1303F7CE" w14:textId="09F8C7E6" w:rsidR="004B5915" w:rsidRDefault="005D0E4B" w:rsidP="004B5915">
            <w:pPr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 proc.</w:t>
            </w:r>
            <w:r w:rsidR="00B30C93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BC03BAF" w14:textId="1273408B" w:rsidR="005D0E4B" w:rsidRPr="004B5915" w:rsidRDefault="00912721" w:rsidP="004B5915">
            <w:pPr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 m. p</w:t>
            </w:r>
            <w:r w:rsidR="00D4363F" w:rsidRPr="00D4363F">
              <w:rPr>
                <w:rFonts w:ascii="Times New Roman" w:eastAsia="Calibri" w:hAnsi="Times New Roman" w:cs="Times New Roman"/>
              </w:rPr>
              <w:t>riimt</w:t>
            </w:r>
            <w:r w:rsidR="00D4363F">
              <w:rPr>
                <w:rFonts w:ascii="Times New Roman" w:eastAsia="Calibri" w:hAnsi="Times New Roman" w:cs="Times New Roman"/>
              </w:rPr>
              <w:t>i</w:t>
            </w:r>
            <w:r w:rsidR="00D4363F" w:rsidRPr="00D4363F">
              <w:rPr>
                <w:rFonts w:ascii="Times New Roman" w:eastAsia="Calibri" w:hAnsi="Times New Roman" w:cs="Times New Roman"/>
              </w:rPr>
              <w:t xml:space="preserve"> </w:t>
            </w:r>
            <w:r w:rsidR="000509FB">
              <w:rPr>
                <w:rFonts w:ascii="Times New Roman" w:eastAsia="Calibri" w:hAnsi="Times New Roman" w:cs="Times New Roman"/>
              </w:rPr>
              <w:t>bei</w:t>
            </w:r>
            <w:r w:rsidR="00D4363F" w:rsidRPr="00D4363F">
              <w:rPr>
                <w:rFonts w:ascii="Times New Roman" w:eastAsia="Calibri" w:hAnsi="Times New Roman" w:cs="Times New Roman"/>
              </w:rPr>
              <w:t xml:space="preserve"> paskelbt</w:t>
            </w:r>
            <w:r w:rsidR="00D4363F">
              <w:rPr>
                <w:rFonts w:ascii="Times New Roman" w:eastAsia="Calibri" w:hAnsi="Times New Roman" w:cs="Times New Roman"/>
              </w:rPr>
              <w:t>i</w:t>
            </w:r>
            <w:r w:rsidR="00D4363F" w:rsidRPr="00D4363F">
              <w:rPr>
                <w:rFonts w:ascii="Times New Roman" w:eastAsia="Calibri" w:hAnsi="Times New Roman" w:cs="Times New Roman"/>
              </w:rPr>
              <w:t xml:space="preserve"> </w:t>
            </w:r>
            <w:r w:rsidR="00D4363F">
              <w:rPr>
                <w:rFonts w:ascii="Times New Roman" w:eastAsia="Calibri" w:hAnsi="Times New Roman" w:cs="Times New Roman"/>
              </w:rPr>
              <w:t xml:space="preserve">ŠRPT interneto svetainėje ŠRPT Kolegijos </w:t>
            </w:r>
            <w:r w:rsidR="00AE54D2">
              <w:rPr>
                <w:rFonts w:ascii="Times New Roman" w:eastAsia="Calibri" w:hAnsi="Times New Roman" w:cs="Times New Roman"/>
              </w:rPr>
              <w:t>15</w:t>
            </w:r>
            <w:r w:rsidR="00D4363F">
              <w:rPr>
                <w:rFonts w:ascii="Times New Roman" w:eastAsia="Calibri" w:hAnsi="Times New Roman" w:cs="Times New Roman"/>
              </w:rPr>
              <w:t xml:space="preserve"> sprendim</w:t>
            </w:r>
            <w:r w:rsidR="00AE54D2">
              <w:rPr>
                <w:rFonts w:ascii="Times New Roman" w:eastAsia="Calibri" w:hAnsi="Times New Roman" w:cs="Times New Roman"/>
              </w:rPr>
              <w:t>ų</w:t>
            </w:r>
            <w:r w:rsidR="000509FB">
              <w:rPr>
                <w:rFonts w:ascii="Times New Roman" w:eastAsia="Calibri" w:hAnsi="Times New Roman" w:cs="Times New Roman"/>
              </w:rPr>
              <w:t xml:space="preserve"> ir Partnerių grupės 7 išvados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4B5915" w:rsidRPr="004B5915" w14:paraId="0E6F5415" w14:textId="27358686" w:rsidTr="004B5915">
        <w:tc>
          <w:tcPr>
            <w:tcW w:w="3259" w:type="dxa"/>
          </w:tcPr>
          <w:p w14:paraId="28C0EF12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2.2. Šiaulių regiono plėtros tarybos interneto svetainėje pateikti ir nuolat atnaujinti informaciją apie visuomenei svarbius projektus, dėl kurių Šiaulių regiono plėtros taryba priėmė sprendimus</w:t>
            </w:r>
          </w:p>
        </w:tc>
        <w:tc>
          <w:tcPr>
            <w:tcW w:w="1842" w:type="dxa"/>
          </w:tcPr>
          <w:p w14:paraId="0CA0520B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Administracijos darbuotojas, atsakingas už informacijos teikimą</w:t>
            </w:r>
          </w:p>
        </w:tc>
        <w:tc>
          <w:tcPr>
            <w:tcW w:w="1134" w:type="dxa"/>
          </w:tcPr>
          <w:p w14:paraId="7D7834ED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Nuolat, pagal poreikį</w:t>
            </w:r>
          </w:p>
        </w:tc>
        <w:tc>
          <w:tcPr>
            <w:tcW w:w="2125" w:type="dxa"/>
          </w:tcPr>
          <w:p w14:paraId="07936C80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Informuota visuomenė apie svarbius jai projektus, dėl kurių priimti sprendimai</w:t>
            </w:r>
          </w:p>
        </w:tc>
        <w:tc>
          <w:tcPr>
            <w:tcW w:w="2131" w:type="dxa"/>
          </w:tcPr>
          <w:p w14:paraId="3DB61C7A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Paskelbtų sprendimų apie visuomenei svarbius projektus skaičius</w:t>
            </w:r>
          </w:p>
        </w:tc>
        <w:tc>
          <w:tcPr>
            <w:tcW w:w="4394" w:type="dxa"/>
          </w:tcPr>
          <w:p w14:paraId="4B769374" w14:textId="6907E3EF" w:rsidR="004B5915" w:rsidRPr="004B5915" w:rsidRDefault="00D4363F" w:rsidP="004B5915">
            <w:pPr>
              <w:rPr>
                <w:rFonts w:ascii="Times New Roman" w:eastAsia="Calibri" w:hAnsi="Times New Roman" w:cs="Times New Roman"/>
              </w:rPr>
            </w:pPr>
            <w:r w:rsidRPr="00D4363F">
              <w:rPr>
                <w:rFonts w:ascii="Times New Roman" w:eastAsia="Calibri" w:hAnsi="Times New Roman" w:cs="Times New Roman"/>
              </w:rPr>
              <w:t>ŠRPT interneto svetainėje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805DBF">
              <w:rPr>
                <w:rFonts w:ascii="Times New Roman" w:eastAsia="Calibri" w:hAnsi="Times New Roman" w:cs="Times New Roman"/>
              </w:rPr>
              <w:t xml:space="preserve">2025 m. </w:t>
            </w:r>
            <w:r>
              <w:rPr>
                <w:rFonts w:ascii="Times New Roman" w:eastAsia="Calibri" w:hAnsi="Times New Roman" w:cs="Times New Roman"/>
              </w:rPr>
              <w:t xml:space="preserve">paskelbti </w:t>
            </w:r>
            <w:r w:rsidR="00EC1109" w:rsidRPr="00EC1109">
              <w:rPr>
                <w:rFonts w:ascii="Times New Roman" w:eastAsia="Calibri" w:hAnsi="Times New Roman" w:cs="Times New Roman"/>
              </w:rPr>
              <w:t xml:space="preserve">ŠRPT Kolegijos </w:t>
            </w:r>
            <w:r w:rsidR="00AE54D2">
              <w:rPr>
                <w:rFonts w:ascii="Times New Roman" w:eastAsia="Calibri" w:hAnsi="Times New Roman" w:cs="Times New Roman"/>
              </w:rPr>
              <w:t>7</w:t>
            </w:r>
            <w:r w:rsidR="00EC1109">
              <w:rPr>
                <w:rFonts w:ascii="Times New Roman" w:eastAsia="Calibri" w:hAnsi="Times New Roman" w:cs="Times New Roman"/>
              </w:rPr>
              <w:t xml:space="preserve"> sprendimai dėl </w:t>
            </w:r>
            <w:r w:rsidR="00EC1109" w:rsidRPr="00EC1109">
              <w:rPr>
                <w:rFonts w:ascii="Times New Roman" w:eastAsia="Calibri" w:hAnsi="Times New Roman" w:cs="Times New Roman"/>
              </w:rPr>
              <w:t>2022–2030 metų Šiaulių regiono plėtros plano</w:t>
            </w:r>
            <w:r w:rsidR="00EC1109">
              <w:rPr>
                <w:rFonts w:ascii="Times New Roman" w:eastAsia="Calibri" w:hAnsi="Times New Roman" w:cs="Times New Roman"/>
              </w:rPr>
              <w:t xml:space="preserve"> pakeitimo, </w:t>
            </w:r>
            <w:r w:rsidR="006628A3">
              <w:rPr>
                <w:rFonts w:ascii="Times New Roman" w:eastAsia="Calibri" w:hAnsi="Times New Roman" w:cs="Times New Roman"/>
              </w:rPr>
              <w:t>4</w:t>
            </w:r>
            <w:r w:rsidR="00EC1109">
              <w:rPr>
                <w:rFonts w:ascii="Times New Roman" w:eastAsia="Calibri" w:hAnsi="Times New Roman" w:cs="Times New Roman"/>
              </w:rPr>
              <w:t xml:space="preserve"> kvietimai visuomenei teikti siūlymus dėl regiono plėtros plano keitimo</w:t>
            </w:r>
            <w:r w:rsidR="006628A3">
              <w:rPr>
                <w:rFonts w:ascii="Times New Roman" w:eastAsia="Calibri" w:hAnsi="Times New Roman" w:cs="Times New Roman"/>
              </w:rPr>
              <w:t xml:space="preserve">, </w:t>
            </w:r>
            <w:r w:rsidR="001D4CDC">
              <w:rPr>
                <w:rFonts w:ascii="Times New Roman" w:eastAsia="Calibri" w:hAnsi="Times New Roman" w:cs="Times New Roman"/>
              </w:rPr>
              <w:t>6</w:t>
            </w:r>
            <w:r w:rsidR="006628A3">
              <w:rPr>
                <w:rFonts w:ascii="Times New Roman" w:eastAsia="Calibri" w:hAnsi="Times New Roman" w:cs="Times New Roman"/>
              </w:rPr>
              <w:t xml:space="preserve"> straipsniai apie </w:t>
            </w:r>
            <w:r w:rsidR="001D4CDC">
              <w:rPr>
                <w:rFonts w:ascii="Times New Roman" w:eastAsia="Calibri" w:hAnsi="Times New Roman" w:cs="Times New Roman"/>
              </w:rPr>
              <w:t>ŠRPT</w:t>
            </w:r>
            <w:r w:rsidR="006628A3" w:rsidRPr="006628A3">
              <w:rPr>
                <w:rFonts w:ascii="Times New Roman" w:eastAsia="Calibri" w:hAnsi="Times New Roman" w:cs="Times New Roman"/>
              </w:rPr>
              <w:t xml:space="preserve"> kolegijos posėd</w:t>
            </w:r>
            <w:r w:rsidR="006628A3">
              <w:rPr>
                <w:rFonts w:ascii="Times New Roman" w:eastAsia="Calibri" w:hAnsi="Times New Roman" w:cs="Times New Roman"/>
              </w:rPr>
              <w:t>žio informaciją</w:t>
            </w:r>
            <w:r w:rsidR="001D4CDC">
              <w:rPr>
                <w:rFonts w:ascii="Times New Roman" w:eastAsia="Calibri" w:hAnsi="Times New Roman" w:cs="Times New Roman"/>
              </w:rPr>
              <w:t>, 3 straipsniai apie ŠRPT organizuotus renginius</w:t>
            </w:r>
            <w:r w:rsidR="00EC1109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4B5915" w:rsidRPr="004B5915" w14:paraId="3530904A" w14:textId="09DE8E8C" w:rsidTr="004B5915">
        <w:trPr>
          <w:trHeight w:val="160"/>
        </w:trPr>
        <w:tc>
          <w:tcPr>
            <w:tcW w:w="3259" w:type="dxa"/>
          </w:tcPr>
          <w:p w14:paraId="5FF96259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2.3. Sudaryti galimybes gyventojams pateikti anoniminius pranešimus apie korupcinio pobūdžio apraiškas Šiaulių regiono plėtros taryboje</w:t>
            </w:r>
          </w:p>
        </w:tc>
        <w:tc>
          <w:tcPr>
            <w:tcW w:w="1842" w:type="dxa"/>
          </w:tcPr>
          <w:p w14:paraId="7D3EDD6D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Administracijos darbuotojas, atsakingas už korupcijos prevenciją</w:t>
            </w:r>
          </w:p>
        </w:tc>
        <w:tc>
          <w:tcPr>
            <w:tcW w:w="1134" w:type="dxa"/>
          </w:tcPr>
          <w:p w14:paraId="6FC18A6B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Nuolat</w:t>
            </w:r>
          </w:p>
        </w:tc>
        <w:tc>
          <w:tcPr>
            <w:tcW w:w="2125" w:type="dxa"/>
          </w:tcPr>
          <w:p w14:paraId="6EE81365" w14:textId="77777777" w:rsidR="004B5915" w:rsidRPr="004B5915" w:rsidRDefault="004B5915" w:rsidP="004B59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Užtikrinta galimybė anonimiškai pranešti apie korupcinio pobūdžio apraiškas</w:t>
            </w:r>
          </w:p>
        </w:tc>
        <w:tc>
          <w:tcPr>
            <w:tcW w:w="2131" w:type="dxa"/>
          </w:tcPr>
          <w:p w14:paraId="583CF284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Įkelta informacija su nuoroda anoniminiams pranešimams Šiaulių regiono plėtros tarybos interneto svetainėje</w:t>
            </w:r>
          </w:p>
        </w:tc>
        <w:tc>
          <w:tcPr>
            <w:tcW w:w="4394" w:type="dxa"/>
          </w:tcPr>
          <w:p w14:paraId="7907CE87" w14:textId="5966B6ED" w:rsidR="004B5915" w:rsidRPr="00767AB4" w:rsidRDefault="00BD6ED4">
            <w:pPr>
              <w:rPr>
                <w:rFonts w:ascii="Times New Roman" w:eastAsia="Calibri" w:hAnsi="Times New Roman" w:cs="Times New Roman"/>
              </w:rPr>
            </w:pPr>
            <w:r w:rsidRPr="00BD6ED4">
              <w:rPr>
                <w:rFonts w:ascii="Times New Roman" w:eastAsia="Calibri" w:hAnsi="Times New Roman" w:cs="Times New Roman"/>
              </w:rPr>
              <w:t>ŠRPT interneto svetainė</w:t>
            </w:r>
            <w:r>
              <w:rPr>
                <w:rFonts w:ascii="Times New Roman" w:eastAsia="Calibri" w:hAnsi="Times New Roman" w:cs="Times New Roman"/>
              </w:rPr>
              <w:t xml:space="preserve">s skyriuje „Korupcijos prevencija“ yra </w:t>
            </w:r>
            <w:r w:rsidRPr="00BD6ED4">
              <w:rPr>
                <w:rFonts w:ascii="Times New Roman" w:eastAsia="Calibri" w:hAnsi="Times New Roman" w:cs="Times New Roman"/>
              </w:rPr>
              <w:t>galimyb</w:t>
            </w:r>
            <w:r>
              <w:rPr>
                <w:rFonts w:ascii="Times New Roman" w:eastAsia="Calibri" w:hAnsi="Times New Roman" w:cs="Times New Roman"/>
              </w:rPr>
              <w:t>ė</w:t>
            </w:r>
            <w:r w:rsidRPr="00BD6ED4">
              <w:rPr>
                <w:rFonts w:ascii="Times New Roman" w:eastAsia="Calibri" w:hAnsi="Times New Roman" w:cs="Times New Roman"/>
              </w:rPr>
              <w:t>s gyventojams pateikti anoniminius pranešimus apie korupcinio pobūdžio apraiškas Šiaulių regiono plėtros taryboje</w:t>
            </w:r>
            <w:r w:rsidR="00767AB4">
              <w:rPr>
                <w:rFonts w:ascii="Times New Roman" w:eastAsia="Calibri" w:hAnsi="Times New Roman" w:cs="Times New Roman"/>
              </w:rPr>
              <w:t xml:space="preserve"> adresu </w:t>
            </w:r>
            <w:hyperlink r:id="rId6" w:history="1">
              <w:r w:rsidR="00767AB4" w:rsidRPr="00767AB4">
                <w:rPr>
                  <w:rStyle w:val="Hipersaitas"/>
                  <w:rFonts w:ascii="Times New Roman" w:eastAsia="Calibri" w:hAnsi="Times New Roman" w:cs="Times New Roman"/>
                  <w:color w:val="auto"/>
                  <w:u w:val="none"/>
                </w:rPr>
                <w:t>https://siauliuregionas.lt/administracine-informacija-2/korupcijos-prevencija/</w:t>
              </w:r>
            </w:hyperlink>
          </w:p>
          <w:p w14:paraId="3A0F539F" w14:textId="0B65AAA1" w:rsidR="004B5915" w:rsidRPr="004B5915" w:rsidRDefault="00767AB4" w:rsidP="00767AB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</w:t>
            </w:r>
            <w:r w:rsidR="001D4CDC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 xml:space="preserve"> m. pranešimų nebuvo gauta.</w:t>
            </w:r>
          </w:p>
        </w:tc>
      </w:tr>
      <w:tr w:rsidR="004B5915" w:rsidRPr="004B5915" w14:paraId="0C1CFFB4" w14:textId="77777777" w:rsidTr="004B5915">
        <w:trPr>
          <w:trHeight w:val="170"/>
        </w:trPr>
        <w:tc>
          <w:tcPr>
            <w:tcW w:w="14885" w:type="dxa"/>
            <w:gridSpan w:val="6"/>
          </w:tcPr>
          <w:p w14:paraId="231C34A9" w14:textId="77777777" w:rsidR="004B5915" w:rsidRPr="004B5915" w:rsidRDefault="004B5915" w:rsidP="004B5915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uždavinys: vykdyti korupcijos prevenciją priimant nutarimus Šiaulių regiono plėtros taryboje</w:t>
            </w:r>
          </w:p>
        </w:tc>
      </w:tr>
      <w:tr w:rsidR="004B5915" w:rsidRPr="004B5915" w14:paraId="3BDED2F6" w14:textId="1B65F625" w:rsidTr="004B5915">
        <w:trPr>
          <w:trHeight w:val="1430"/>
        </w:trPr>
        <w:tc>
          <w:tcPr>
            <w:tcW w:w="3259" w:type="dxa"/>
          </w:tcPr>
          <w:p w14:paraId="4F8A5ABB" w14:textId="77777777" w:rsidR="004B5915" w:rsidRPr="004B5915" w:rsidRDefault="004B5915" w:rsidP="004B5915">
            <w:pPr>
              <w:autoSpaceDE w:val="0"/>
              <w:autoSpaceDN w:val="0"/>
              <w:rPr>
                <w:rFonts w:ascii="Calibri" w:eastAsia="Calibri" w:hAnsi="Calibri" w:cs="Times New Roman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3.1. Kontroliuoti, ar asmenys, kurie turi deklaruoti viešuosius ir privačius interesus, laiku ir tinkamai pateikia privačių interesų deklaracijas.</w:t>
            </w:r>
          </w:p>
        </w:tc>
        <w:tc>
          <w:tcPr>
            <w:tcW w:w="1842" w:type="dxa"/>
          </w:tcPr>
          <w:p w14:paraId="09C79692" w14:textId="77777777" w:rsidR="004B5915" w:rsidRPr="004B5915" w:rsidRDefault="004B5915" w:rsidP="004B5915">
            <w:pPr>
              <w:autoSpaceDE w:val="0"/>
              <w:autoSpaceDN w:val="0"/>
              <w:rPr>
                <w:rFonts w:ascii="Calibri" w:eastAsia="Calibri" w:hAnsi="Calibri" w:cs="Times New Roman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Administracijos darbuotojas, atsakingas už viešųjų ir privačių interesų derinimo kontrolę</w:t>
            </w:r>
          </w:p>
        </w:tc>
        <w:tc>
          <w:tcPr>
            <w:tcW w:w="1134" w:type="dxa"/>
          </w:tcPr>
          <w:p w14:paraId="48E82253" w14:textId="77777777" w:rsidR="004B5915" w:rsidRPr="004B5915" w:rsidRDefault="004B5915" w:rsidP="004B5915">
            <w:pPr>
              <w:autoSpaceDE w:val="0"/>
              <w:autoSpaceDN w:val="0"/>
              <w:rPr>
                <w:rFonts w:ascii="Calibri" w:eastAsia="Calibri" w:hAnsi="Calibri" w:cs="Times New Roman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Nuolat, pagal poreikį</w:t>
            </w:r>
          </w:p>
        </w:tc>
        <w:tc>
          <w:tcPr>
            <w:tcW w:w="2125" w:type="dxa"/>
          </w:tcPr>
          <w:p w14:paraId="0C79A857" w14:textId="77777777" w:rsidR="004B5915" w:rsidRPr="004B5915" w:rsidRDefault="004B5915" w:rsidP="004B5915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</w:rPr>
            </w:pPr>
            <w:r w:rsidRPr="004B59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Pateiktos viešųjų ir privačių interesų deklaracijos </w:t>
            </w:r>
          </w:p>
        </w:tc>
        <w:tc>
          <w:tcPr>
            <w:tcW w:w="2131" w:type="dxa"/>
          </w:tcPr>
          <w:p w14:paraId="323BD172" w14:textId="77777777" w:rsidR="004B5915" w:rsidRPr="004B5915" w:rsidRDefault="004B5915" w:rsidP="004B5915">
            <w:pPr>
              <w:autoSpaceDE w:val="0"/>
              <w:autoSpaceDN w:val="0"/>
              <w:rPr>
                <w:rFonts w:ascii="Calibri" w:eastAsia="Calibri" w:hAnsi="Calibri" w:cs="Times New Roman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Viešuosius ir privačius interesus deklaravę asmenys, proc.</w:t>
            </w:r>
          </w:p>
        </w:tc>
        <w:tc>
          <w:tcPr>
            <w:tcW w:w="4394" w:type="dxa"/>
          </w:tcPr>
          <w:p w14:paraId="31A0B02D" w14:textId="4904B633" w:rsidR="004B5915" w:rsidRPr="004B5915" w:rsidRDefault="004B608A" w:rsidP="004B5915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1D4CD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m. atvejų, kuriems būtina </w:t>
            </w:r>
            <w:r w:rsidRPr="004B608A">
              <w:rPr>
                <w:rFonts w:ascii="Times New Roman" w:eastAsia="Calibri" w:hAnsi="Times New Roman" w:cs="Times New Roman"/>
                <w:sz w:val="20"/>
                <w:szCs w:val="20"/>
              </w:rPr>
              <w:t>deklaruoti viešuosius ir privačius interesus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2D1E32">
              <w:rPr>
                <w:rFonts w:ascii="Times New Roman" w:eastAsia="Calibri" w:hAnsi="Times New Roman" w:cs="Times New Roman"/>
                <w:sz w:val="20"/>
                <w:szCs w:val="20"/>
              </w:rPr>
              <w:t>nebuvo nagrinėta.</w:t>
            </w:r>
          </w:p>
        </w:tc>
      </w:tr>
      <w:tr w:rsidR="004B5915" w:rsidRPr="004B5915" w14:paraId="368F97A5" w14:textId="648B9309" w:rsidTr="004B5915">
        <w:trPr>
          <w:trHeight w:val="1160"/>
        </w:trPr>
        <w:tc>
          <w:tcPr>
            <w:tcW w:w="3259" w:type="dxa"/>
          </w:tcPr>
          <w:p w14:paraId="6E500B52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3.2. Kolegijos narius informuoti apie nusišalinimo būdus svarstant posėdžio klausimą, jeigu kiltų viešųjų ir privačiųjų interesų konfliktas</w:t>
            </w:r>
          </w:p>
        </w:tc>
        <w:tc>
          <w:tcPr>
            <w:tcW w:w="1842" w:type="dxa"/>
          </w:tcPr>
          <w:p w14:paraId="0FCF2E78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Administracijos darbuotojas, atsakingas už korupcijos prevenciją</w:t>
            </w:r>
          </w:p>
        </w:tc>
        <w:tc>
          <w:tcPr>
            <w:tcW w:w="1134" w:type="dxa"/>
          </w:tcPr>
          <w:p w14:paraId="1A3677CE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Kolegijos posėdžių pradžioje</w:t>
            </w:r>
          </w:p>
        </w:tc>
        <w:tc>
          <w:tcPr>
            <w:tcW w:w="2125" w:type="dxa"/>
          </w:tcPr>
          <w:p w14:paraId="369ED4E1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Išvengta viešųjų ir privačiųjų interesų konfliktų</w:t>
            </w:r>
          </w:p>
        </w:tc>
        <w:tc>
          <w:tcPr>
            <w:tcW w:w="2131" w:type="dxa"/>
          </w:tcPr>
          <w:p w14:paraId="06599AAD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Išvengtų viešųjų ir privačiųjų interesų konfliktų skaičius, proc.</w:t>
            </w:r>
          </w:p>
        </w:tc>
        <w:tc>
          <w:tcPr>
            <w:tcW w:w="4394" w:type="dxa"/>
          </w:tcPr>
          <w:p w14:paraId="5994AD70" w14:textId="16B323EB" w:rsidR="004B5915" w:rsidRPr="004B5915" w:rsidRDefault="002D1E32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32">
              <w:rPr>
                <w:rFonts w:ascii="Times New Roman" w:eastAsia="Calibri" w:hAnsi="Times New Roman" w:cs="Times New Roman"/>
                <w:sz w:val="20"/>
                <w:szCs w:val="20"/>
              </w:rPr>
              <w:t>Kolegijos nari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ai</w:t>
            </w:r>
            <w:r w:rsidRPr="002D1E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posėdžiuose </w:t>
            </w:r>
            <w:r w:rsidRPr="002D1E32">
              <w:rPr>
                <w:rFonts w:ascii="Times New Roman" w:eastAsia="Calibri" w:hAnsi="Times New Roman" w:cs="Times New Roman"/>
                <w:sz w:val="20"/>
                <w:szCs w:val="20"/>
              </w:rPr>
              <w:t>informuo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jami</w:t>
            </w:r>
            <w:r w:rsidRPr="002D1E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apie nusišalinimo būdus svarstant posėdžio klausimą, jeigu kiltų viešųjų ir privačiųjų interesų konfliktas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202</w:t>
            </w:r>
            <w:r w:rsidR="001D4CD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m. </w:t>
            </w:r>
            <w:r w:rsidRPr="002D1E32">
              <w:rPr>
                <w:rFonts w:ascii="Times New Roman" w:eastAsia="Calibri" w:hAnsi="Times New Roman" w:cs="Times New Roman"/>
                <w:sz w:val="20"/>
                <w:szCs w:val="20"/>
              </w:rPr>
              <w:t>viešųjų ir privačiųjų interesų konfliktų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nebuvo.</w:t>
            </w:r>
          </w:p>
        </w:tc>
      </w:tr>
      <w:tr w:rsidR="004B5915" w:rsidRPr="004B5915" w14:paraId="197886EC" w14:textId="14027CD5" w:rsidTr="004B5915">
        <w:trPr>
          <w:trHeight w:val="500"/>
        </w:trPr>
        <w:tc>
          <w:tcPr>
            <w:tcW w:w="3259" w:type="dxa"/>
          </w:tcPr>
          <w:p w14:paraId="3DB962A4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3.3. Kviesti administracijos darbuotojus, Kolegijos ir Visuotinio dalyvių susirinkimo narius į seminarus, pasitarimus korupcijos prevencijos klausimais</w:t>
            </w:r>
          </w:p>
          <w:p w14:paraId="0C0A1548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DF2D9D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E5E4AA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Administracijos darbuotojas, atsakingas už korupcijos prevenciją</w:t>
            </w:r>
          </w:p>
        </w:tc>
        <w:tc>
          <w:tcPr>
            <w:tcW w:w="1134" w:type="dxa"/>
          </w:tcPr>
          <w:p w14:paraId="6B81EE59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Nuolat, pagal galimybes</w:t>
            </w:r>
          </w:p>
        </w:tc>
        <w:tc>
          <w:tcPr>
            <w:tcW w:w="2125" w:type="dxa"/>
          </w:tcPr>
          <w:p w14:paraId="72A1CD0F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Sumažinta korupcijos pasireiškimo tikimybė administracijos darbuotojams, Kolegijos ir Visuotinio dalyvių susirinkimo nariams </w:t>
            </w:r>
          </w:p>
        </w:tc>
        <w:tc>
          <w:tcPr>
            <w:tcW w:w="2131" w:type="dxa"/>
          </w:tcPr>
          <w:p w14:paraId="4444AB9D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Seminarų, pasitarimų unikalių dalyvių skaičius ir procentas nuo visų pakviestųjų </w:t>
            </w:r>
          </w:p>
        </w:tc>
        <w:tc>
          <w:tcPr>
            <w:tcW w:w="4394" w:type="dxa"/>
          </w:tcPr>
          <w:p w14:paraId="2BE2E7E0" w14:textId="47844260" w:rsidR="004B5915" w:rsidRPr="004B5915" w:rsidRDefault="002D1E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1D4CD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m. </w:t>
            </w:r>
            <w:r w:rsidRPr="002D1E32">
              <w:rPr>
                <w:rFonts w:ascii="Times New Roman" w:eastAsia="Calibri" w:hAnsi="Times New Roman" w:cs="Times New Roman"/>
                <w:sz w:val="20"/>
                <w:szCs w:val="20"/>
              </w:rPr>
              <w:t>seminar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ų</w:t>
            </w:r>
            <w:r w:rsidRPr="002D1E32">
              <w:rPr>
                <w:rFonts w:ascii="Times New Roman" w:eastAsia="Calibri" w:hAnsi="Times New Roman" w:cs="Times New Roman"/>
                <w:sz w:val="20"/>
                <w:szCs w:val="20"/>
              </w:rPr>
              <w:t>, pasitarim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ų</w:t>
            </w:r>
            <w:r w:rsidRPr="002D1E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korupcijos prevencijos klausimais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nebuvo organizuota.</w:t>
            </w:r>
          </w:p>
          <w:p w14:paraId="3E7BBBDD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B5915" w:rsidRPr="004B5915" w14:paraId="25B4914C" w14:textId="33351BEB" w:rsidTr="004B5915">
        <w:trPr>
          <w:trHeight w:val="1634"/>
        </w:trPr>
        <w:tc>
          <w:tcPr>
            <w:tcW w:w="3259" w:type="dxa"/>
          </w:tcPr>
          <w:p w14:paraId="3FDCB9E4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3.4. Nagrinėti gautą informaciją apie korupcinio pobūdžio apraiškas Šiaulių regiono plėtros taryboje ir operatyviai priimti sprendimus</w:t>
            </w:r>
          </w:p>
          <w:p w14:paraId="11D43579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142E0A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236E942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Administracijos darbuotojas, atsakingas už korupcijos prevenciją</w:t>
            </w:r>
          </w:p>
        </w:tc>
        <w:tc>
          <w:tcPr>
            <w:tcW w:w="1134" w:type="dxa"/>
          </w:tcPr>
          <w:p w14:paraId="4F9F6896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Per 5 darbo dienas arba iki artimiausio Kolegijos posėdžio</w:t>
            </w:r>
          </w:p>
        </w:tc>
        <w:tc>
          <w:tcPr>
            <w:tcW w:w="2125" w:type="dxa"/>
          </w:tcPr>
          <w:p w14:paraId="317C13A4" w14:textId="77777777" w:rsidR="004B5915" w:rsidRPr="004B5915" w:rsidRDefault="004B5915" w:rsidP="004B59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Išnagrinėtos ir išspręstos korupcinio pobūdžio apraiškos bei sumažinta rizika jas patirti pakartotinai </w:t>
            </w:r>
          </w:p>
        </w:tc>
        <w:tc>
          <w:tcPr>
            <w:tcW w:w="2131" w:type="dxa"/>
          </w:tcPr>
          <w:p w14:paraId="000A498F" w14:textId="77777777" w:rsidR="004B5915" w:rsidRPr="004B5915" w:rsidRDefault="004B5915" w:rsidP="004B59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Gautų, išnagrinėtų pranešimų ir pasitvirtinusių pranešimų apie korupcines veikas skaičiaus santykis </w:t>
            </w:r>
          </w:p>
        </w:tc>
        <w:tc>
          <w:tcPr>
            <w:tcW w:w="4394" w:type="dxa"/>
          </w:tcPr>
          <w:p w14:paraId="28821988" w14:textId="0A80C565" w:rsidR="004B5915" w:rsidRPr="004B5915" w:rsidRDefault="002D1E3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</w:t>
            </w:r>
            <w:r w:rsidR="001D4C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m. nebuvo </w:t>
            </w:r>
            <w:r w:rsidRPr="002D1E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gaut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</w:t>
            </w:r>
            <w:r w:rsidRPr="002D1E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informacij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</w:t>
            </w:r>
            <w:r w:rsidRPr="002D1E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apie korupcinio pobūdžio apraiškas Šiaulių regiono plėtros taryboje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D1E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todėl nebuvo poreikio</w:t>
            </w:r>
            <w:r w:rsidRPr="002D1E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operatyviai priimti sprendimus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77CC444" w14:textId="77777777" w:rsidR="004B5915" w:rsidRPr="004B5915" w:rsidRDefault="004B5915" w:rsidP="004B59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B36D9BE" w14:textId="77777777" w:rsidR="004B5915" w:rsidRPr="004B5915" w:rsidRDefault="004B5915" w:rsidP="004B5915">
      <w:pPr>
        <w:widowControl w:val="0"/>
        <w:tabs>
          <w:tab w:val="left" w:pos="757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91E7F6" w14:textId="77777777" w:rsidR="00DF1E81" w:rsidRDefault="00DF1E81"/>
    <w:sectPr w:rsidR="00DF1E81" w:rsidSect="004B5915">
      <w:headerReference w:type="default" r:id="rId7"/>
      <w:footerReference w:type="first" r:id="rId8"/>
      <w:pgSz w:w="16838" w:h="11906" w:orient="landscape" w:code="9"/>
      <w:pgMar w:top="1134" w:right="567" w:bottom="1134" w:left="1701" w:header="680" w:footer="680" w:gutter="0"/>
      <w:cols w:space="709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5EE2A" w14:textId="77777777" w:rsidR="006C7E58" w:rsidRDefault="006C7E58" w:rsidP="004B5915">
      <w:pPr>
        <w:spacing w:after="0" w:line="240" w:lineRule="auto"/>
      </w:pPr>
      <w:r>
        <w:separator/>
      </w:r>
    </w:p>
  </w:endnote>
  <w:endnote w:type="continuationSeparator" w:id="0">
    <w:p w14:paraId="6E12868D" w14:textId="77777777" w:rsidR="006C7E58" w:rsidRDefault="006C7E58" w:rsidP="004B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4BBF" w14:textId="77777777" w:rsidR="001407E6" w:rsidRDefault="001407E6" w:rsidP="00A72D46">
    <w:pPr>
      <w:rPr>
        <w:noProof/>
      </w:rPr>
    </w:pPr>
  </w:p>
  <w:p w14:paraId="26F0B3E2" w14:textId="77777777" w:rsidR="001407E6" w:rsidRPr="00FD30DC" w:rsidRDefault="001407E6" w:rsidP="00A72D46">
    <w:pPr>
      <w:rPr>
        <w:noProof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CFCE0" w14:textId="77777777" w:rsidR="006C7E58" w:rsidRDefault="006C7E58" w:rsidP="004B5915">
      <w:pPr>
        <w:spacing w:after="0" w:line="240" w:lineRule="auto"/>
      </w:pPr>
      <w:r>
        <w:separator/>
      </w:r>
    </w:p>
  </w:footnote>
  <w:footnote w:type="continuationSeparator" w:id="0">
    <w:p w14:paraId="570897F5" w14:textId="77777777" w:rsidR="006C7E58" w:rsidRDefault="006C7E58" w:rsidP="004B5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C19EE" w14:textId="77777777" w:rsidR="001407E6" w:rsidRPr="00A55D99" w:rsidRDefault="001407E6">
    <w:pPr>
      <w:pStyle w:val="Antrats"/>
      <w:jc w:val="center"/>
      <w:rPr>
        <w:sz w:val="24"/>
        <w:szCs w:val="24"/>
      </w:rPr>
    </w:pPr>
    <w:r w:rsidRPr="00A55D99">
      <w:rPr>
        <w:sz w:val="24"/>
        <w:szCs w:val="24"/>
      </w:rPr>
      <w:fldChar w:fldCharType="begin"/>
    </w:r>
    <w:r w:rsidRPr="00A55D99">
      <w:rPr>
        <w:sz w:val="24"/>
        <w:szCs w:val="24"/>
      </w:rPr>
      <w:instrText>PAGE   \* MERGEFORMAT</w:instrText>
    </w:r>
    <w:r w:rsidRPr="00A55D99">
      <w:rPr>
        <w:sz w:val="24"/>
        <w:szCs w:val="24"/>
      </w:rPr>
      <w:fldChar w:fldCharType="separate"/>
    </w:r>
    <w:r w:rsidRPr="00574FA3">
      <w:rPr>
        <w:noProof/>
        <w:sz w:val="24"/>
        <w:szCs w:val="24"/>
      </w:rPr>
      <w:t>5</w:t>
    </w:r>
    <w:r w:rsidRPr="00A55D99">
      <w:rPr>
        <w:sz w:val="24"/>
        <w:szCs w:val="24"/>
      </w:rPr>
      <w:fldChar w:fldCharType="end"/>
    </w:r>
  </w:p>
  <w:p w14:paraId="5C8B7303" w14:textId="77777777" w:rsidR="001407E6" w:rsidRDefault="001407E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15"/>
    <w:rsid w:val="000205EF"/>
    <w:rsid w:val="00030C32"/>
    <w:rsid w:val="0004050C"/>
    <w:rsid w:val="000509FB"/>
    <w:rsid w:val="00070150"/>
    <w:rsid w:val="00076308"/>
    <w:rsid w:val="000971A6"/>
    <w:rsid w:val="000B6DC4"/>
    <w:rsid w:val="000D5409"/>
    <w:rsid w:val="00112F76"/>
    <w:rsid w:val="001407E6"/>
    <w:rsid w:val="0014188D"/>
    <w:rsid w:val="00180365"/>
    <w:rsid w:val="00181D8B"/>
    <w:rsid w:val="00193377"/>
    <w:rsid w:val="00193F69"/>
    <w:rsid w:val="001D4B54"/>
    <w:rsid w:val="001D4CDC"/>
    <w:rsid w:val="001E37BD"/>
    <w:rsid w:val="002120FB"/>
    <w:rsid w:val="00230809"/>
    <w:rsid w:val="0024000E"/>
    <w:rsid w:val="00272F64"/>
    <w:rsid w:val="00277382"/>
    <w:rsid w:val="00292E0A"/>
    <w:rsid w:val="002C6CBB"/>
    <w:rsid w:val="002D1E32"/>
    <w:rsid w:val="002F1722"/>
    <w:rsid w:val="003037EF"/>
    <w:rsid w:val="003151CE"/>
    <w:rsid w:val="00337008"/>
    <w:rsid w:val="0034100B"/>
    <w:rsid w:val="00350AB8"/>
    <w:rsid w:val="00363BCB"/>
    <w:rsid w:val="003E319F"/>
    <w:rsid w:val="0041287F"/>
    <w:rsid w:val="00421AD0"/>
    <w:rsid w:val="00436F28"/>
    <w:rsid w:val="00443E6A"/>
    <w:rsid w:val="00444E58"/>
    <w:rsid w:val="004B5915"/>
    <w:rsid w:val="004B608A"/>
    <w:rsid w:val="004C77BC"/>
    <w:rsid w:val="00502105"/>
    <w:rsid w:val="00503962"/>
    <w:rsid w:val="005058A3"/>
    <w:rsid w:val="00564763"/>
    <w:rsid w:val="00564962"/>
    <w:rsid w:val="005D0E4B"/>
    <w:rsid w:val="006269C0"/>
    <w:rsid w:val="006627EF"/>
    <w:rsid w:val="006628A3"/>
    <w:rsid w:val="00677A6C"/>
    <w:rsid w:val="006956C9"/>
    <w:rsid w:val="006C7E58"/>
    <w:rsid w:val="006F7D13"/>
    <w:rsid w:val="007445C3"/>
    <w:rsid w:val="00767AB4"/>
    <w:rsid w:val="00780065"/>
    <w:rsid w:val="00783552"/>
    <w:rsid w:val="007C6BB1"/>
    <w:rsid w:val="007E6ABE"/>
    <w:rsid w:val="00805DBF"/>
    <w:rsid w:val="00832E0C"/>
    <w:rsid w:val="008365BC"/>
    <w:rsid w:val="008D4DE7"/>
    <w:rsid w:val="00912721"/>
    <w:rsid w:val="00931E72"/>
    <w:rsid w:val="0093255F"/>
    <w:rsid w:val="00995F2B"/>
    <w:rsid w:val="009D7333"/>
    <w:rsid w:val="00A4093A"/>
    <w:rsid w:val="00A947F5"/>
    <w:rsid w:val="00AA699C"/>
    <w:rsid w:val="00AA6F4A"/>
    <w:rsid w:val="00AD2432"/>
    <w:rsid w:val="00AE34B1"/>
    <w:rsid w:val="00AE54D2"/>
    <w:rsid w:val="00B14CE4"/>
    <w:rsid w:val="00B17AF1"/>
    <w:rsid w:val="00B30C93"/>
    <w:rsid w:val="00B5096E"/>
    <w:rsid w:val="00B5785C"/>
    <w:rsid w:val="00B82617"/>
    <w:rsid w:val="00B83603"/>
    <w:rsid w:val="00BB3DD6"/>
    <w:rsid w:val="00BD6ED4"/>
    <w:rsid w:val="00BD7D35"/>
    <w:rsid w:val="00C457D7"/>
    <w:rsid w:val="00C6590B"/>
    <w:rsid w:val="00CA4F7E"/>
    <w:rsid w:val="00CB2B29"/>
    <w:rsid w:val="00CB6BEF"/>
    <w:rsid w:val="00D42151"/>
    <w:rsid w:val="00D4363F"/>
    <w:rsid w:val="00DB44B5"/>
    <w:rsid w:val="00DE16FC"/>
    <w:rsid w:val="00DF1E81"/>
    <w:rsid w:val="00DF657D"/>
    <w:rsid w:val="00E76091"/>
    <w:rsid w:val="00EA452C"/>
    <w:rsid w:val="00EB0393"/>
    <w:rsid w:val="00EC1109"/>
    <w:rsid w:val="00F209E2"/>
    <w:rsid w:val="00F642EB"/>
    <w:rsid w:val="00F84533"/>
    <w:rsid w:val="00FD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860E"/>
  <w15:chartTrackingRefBased/>
  <w15:docId w15:val="{D5F1786F-9073-441A-9800-13D13764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B5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5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59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5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59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5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5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5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5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5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5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59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591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591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591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591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591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591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5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5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5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5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5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591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591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B591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5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591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5915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4B5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5915"/>
  </w:style>
  <w:style w:type="table" w:customStyle="1" w:styleId="Lentelstinklelis1">
    <w:name w:val="Lentelės tinklelis1"/>
    <w:basedOn w:val="prastojilentel"/>
    <w:next w:val="Lentelstinklelis"/>
    <w:uiPriority w:val="39"/>
    <w:rsid w:val="004B5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4B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4B5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5915"/>
  </w:style>
  <w:style w:type="character" w:styleId="Hipersaitas">
    <w:name w:val="Hyperlink"/>
    <w:basedOn w:val="Numatytasispastraiposriftas"/>
    <w:uiPriority w:val="99"/>
    <w:unhideWhenUsed/>
    <w:rsid w:val="00767AB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67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auliuregionas.lt/administracine-informacija-2/korupcijos-prevencij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Teodoras Tamošiūnas</dc:creator>
  <cp:keywords/>
  <dc:description/>
  <cp:lastModifiedBy>Daiva Žukienė</cp:lastModifiedBy>
  <cp:revision>33</cp:revision>
  <dcterms:created xsi:type="dcterms:W3CDTF">2026-02-25T09:24:00Z</dcterms:created>
  <dcterms:modified xsi:type="dcterms:W3CDTF">2026-03-26T13:19:00Z</dcterms:modified>
</cp:coreProperties>
</file>